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42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4111"/>
        <w:gridCol w:w="4253"/>
        <w:gridCol w:w="4537"/>
        <w:tblGridChange w:id="0">
          <w:tblGrid>
            <w:gridCol w:w="1525"/>
            <w:gridCol w:w="4111"/>
            <w:gridCol w:w="4253"/>
            <w:gridCol w:w="4537"/>
          </w:tblGrid>
        </w:tblGridChange>
      </w:tblGrid>
      <w:tr>
        <w:tc>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Modul / OCLC JIRA</w:t>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englisch</w:t>
            </w:r>
          </w:p>
        </w:tc>
        <w:tc>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deutsch</w:t>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Lösung, Kommentare</w:t>
            </w:r>
          </w:p>
        </w:tc>
      </w:tr>
      <w:tr>
        <w:tc>
          <w:tcPr>
            <w:gridSpan w:val="4"/>
            <w:shd w:fill="8db3e2"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Änderungshistorie im Nutzerkonto</w:t>
            </w:r>
          </w:p>
        </w:tc>
      </w:tr>
      <w:tr>
        <w:tc>
          <w:tcPr/>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LBS-000</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b w:val="1"/>
                <w:color w:val="ff0000"/>
                <w:rtl w:val="0"/>
              </w:rPr>
              <w:t xml:space="preserve">TBD!!!</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Jira entry will follow</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More local fields for tables</w:t>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hanging="360"/>
              <w:rPr>
                <w:b w:val="1"/>
                <w:sz w:val="22"/>
                <w:szCs w:val="22"/>
              </w:rPr>
            </w:pPr>
            <w:r w:rsidDel="00000000" w:rsidR="00000000" w:rsidRPr="00000000">
              <w:rPr>
                <w:rFonts w:ascii="Calibri" w:cs="Calibri" w:eastAsia="Calibri" w:hAnsi="Calibri"/>
                <w:b w:val="1"/>
                <w:sz w:val="22"/>
                <w:szCs w:val="22"/>
                <w:rtl w:val="0"/>
              </w:rPr>
              <w:t xml:space="preserve">Band</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hanging="360"/>
              <w:rPr>
                <w:b w:val="1"/>
                <w:sz w:val="22"/>
                <w:szCs w:val="22"/>
              </w:rPr>
            </w:pPr>
            <w:r w:rsidDel="00000000" w:rsidR="00000000" w:rsidRPr="00000000">
              <w:rPr>
                <w:rFonts w:ascii="Calibri" w:cs="Calibri" w:eastAsia="Calibri" w:hAnsi="Calibri"/>
                <w:b w:val="1"/>
                <w:sz w:val="22"/>
                <w:szCs w:val="22"/>
                <w:rtl w:val="0"/>
              </w:rPr>
              <w:t xml:space="preserve">Volume</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hanging="360"/>
              <w:rPr>
                <w:b w:val="1"/>
                <w:sz w:val="22"/>
                <w:szCs w:val="22"/>
              </w:rPr>
            </w:pPr>
            <w:r w:rsidDel="00000000" w:rsidR="00000000" w:rsidRPr="00000000">
              <w:rPr>
                <w:rFonts w:ascii="Calibri" w:cs="Calibri" w:eastAsia="Calibri" w:hAnsi="Calibri"/>
                <w:b w:val="1"/>
                <w:sz w:val="22"/>
                <w:szCs w:val="22"/>
                <w:rtl w:val="0"/>
              </w:rPr>
              <w:t xml:space="preserve">Department</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LBSVIER-000</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 wäre schön, wenn man bei den wichtigsten Feldern (Nutzernummer, Name, Barcode) die alten Einträge noch irgendwo einsehen könnte.</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Kommentar VZG:</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Weitere Felder auf den Schirmen sollten aus Gründen der Übersichtlichkeit möglichst vermieden werden, sofern die betr. Daten an einer geeigneten anderen Stelle abgelegt werden können.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color w:val="c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Für diese Fälle kann jede Bibliothek selbst Lokale Felder definieren oder das Kommentarfeld nutzen.</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Die vorherige Verbuchungsnummer eines OUS-Bandsatzes  könnte im Feld </w:t>
            </w:r>
            <w:r w:rsidDel="00000000" w:rsidR="00000000" w:rsidRPr="00000000">
              <w:rPr>
                <w:i w:val="1"/>
                <w:color w:val="c00000"/>
                <w:rtl w:val="0"/>
              </w:rPr>
              <w:t xml:space="preserve">Interne Bemerkung</w:t>
            </w:r>
            <w:r w:rsidDel="00000000" w:rsidR="00000000" w:rsidRPr="00000000">
              <w:rPr>
                <w:color w:val="c00000"/>
                <w:rtl w:val="0"/>
              </w:rPr>
              <w:t xml:space="preserve"> gespeichert werden, da für die Tabelle </w:t>
            </w:r>
            <w:r w:rsidDel="00000000" w:rsidR="00000000" w:rsidRPr="00000000">
              <w:rPr>
                <w:i w:val="1"/>
                <w:color w:val="c00000"/>
                <w:rtl w:val="0"/>
              </w:rPr>
              <w:t xml:space="preserve">Volume</w:t>
            </w:r>
            <w:r w:rsidDel="00000000" w:rsidR="00000000" w:rsidRPr="00000000">
              <w:rPr>
                <w:color w:val="c00000"/>
                <w:rtl w:val="0"/>
              </w:rPr>
              <w:t xml:space="preserve"> zzt. keine Lokalen Felder möglich sind.</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c00000"/>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sz w:val="22"/>
                <w:szCs w:val="22"/>
              </w:rPr>
            </w:pPr>
            <w:r w:rsidDel="00000000" w:rsidR="00000000" w:rsidRPr="00000000">
              <w:rPr>
                <w:rFonts w:ascii="Calibri" w:cs="Calibri" w:eastAsia="Calibri" w:hAnsi="Calibri"/>
                <w:b w:val="1"/>
                <w:color w:val="c00000"/>
                <w:sz w:val="22"/>
                <w:szCs w:val="22"/>
                <w:rtl w:val="0"/>
              </w:rPr>
              <w:t xml:space="preserve">Melden: </w:t>
              <w:br w:type="textWrapping"/>
              <w:t xml:space="preserve">Lokale Felder sollten auch beim Band/Volume genutzt werden können.</w:t>
              <w:br w:type="textWrapping"/>
              <w:t xml:space="preserve">(Und auch bei Abteilung/Department)</w:t>
            </w:r>
            <w:r w:rsidDel="00000000" w:rsidR="00000000" w:rsidRPr="00000000">
              <w:rPr>
                <w:rtl w:val="0"/>
              </w:rPr>
            </w:r>
          </w:p>
        </w:tc>
      </w:tr>
      <w:tr>
        <w:tc>
          <w:tcPr>
            <w:gridSpan w:val="4"/>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b w:val="1"/>
                <w:color w:val="c00000"/>
              </w:rPr>
            </w:pPr>
            <w:r w:rsidDel="00000000" w:rsidR="00000000" w:rsidRPr="00000000">
              <w:rPr>
                <w:b w:val="1"/>
                <w:rtl w:val="0"/>
              </w:rPr>
              <w:t xml:space="preserve">Datenschutz</w:t>
            </w:r>
            <w:r w:rsidDel="00000000" w:rsidR="00000000" w:rsidRPr="00000000">
              <w:rPr>
                <w:rtl w:val="0"/>
              </w:rPr>
            </w:r>
          </w:p>
        </w:tc>
      </w:tr>
      <w:tr>
        <w:tc>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hyperlink r:id="rId6">
              <w:r w:rsidDel="00000000" w:rsidR="00000000" w:rsidRPr="00000000">
                <w:rPr>
                  <w:color w:val="0000ff"/>
                  <w:u w:val="single"/>
                  <w:rtl w:val="0"/>
                </w:rPr>
                <w:t xml:space="preserve">LBS-1222</w:t>
              </w:r>
            </w:hyperlink>
            <w:r w:rsidDel="00000000" w:rsidR="00000000" w:rsidRPr="00000000">
              <w:fldChar w:fldCharType="begin"/>
              <w:instrText xml:space="preserve"> HYPERLINK "https://issues.oclcpica.org/browse/LBS-1222"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"https://issues.oclcpica.org/browse/LBS-1222" </w:instrText>
              <w:fldChar w:fldCharType="separate"/>
            </w:r>
            <w:r w:rsidDel="00000000" w:rsidR="00000000" w:rsidRPr="00000000">
              <w:fldChar w:fldCharType="end"/>
            </w:r>
            <w:r w:rsidDel="00000000" w:rsidR="00000000" w:rsidRPr="00000000">
              <w:rPr>
                <w:b w:val="1"/>
                <w:rtl w:val="0"/>
              </w:rPr>
              <w:t xml:space="preserve">Offline remove borrower process leaves out borrowers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LBS4 the offline borrower proces results in less selected borrowers to be deleted than in LBS3. In LBS3 more borrowers are being selected. A testrun has been done in both LBS3 as in LBS4. See results in attached files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Ergänzung per Kommentar:</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problem is: the edit_date is taken into account.</w:t>
              <w:br w:type="textWrapping"/>
              <w:t xml:space="preserve">If the edit_date is newer than mxp/bxp then the borrower is not deleted.</w:t>
              <w:br w:type="textWrapping"/>
              <w:t xml:space="preserve">Removing borrowers is rather important for data security reasons.</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rPr>
            </w:pPr>
            <w:hyperlink r:id="rId7">
              <w:r w:rsidDel="00000000" w:rsidR="00000000" w:rsidRPr="00000000">
                <w:rPr>
                  <w:color w:val="0000ff"/>
                  <w:u w:val="single"/>
                  <w:rtl w:val="0"/>
                </w:rPr>
                <w:t xml:space="preserve">LBSVIER-431</w:t>
              </w:r>
            </w:hyperlink>
            <w:r w:rsidDel="00000000" w:rsidR="00000000" w:rsidRPr="00000000">
              <w:rPr>
                <w:rtl w:val="0"/>
              </w:rPr>
              <w:t xml:space="preserve"> OUS4 / APCC: </w:t>
            </w:r>
            <w:r w:rsidDel="00000000" w:rsidR="00000000" w:rsidRPr="00000000">
              <w:rPr>
                <w:b w:val="1"/>
                <w:rtl w:val="0"/>
              </w:rPr>
              <w:t xml:space="preserve">Remove Borrowers löscht Nutzersätze nicht, wenn das Änderungsdatum aktueller ist</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Das Programm Remove Borrowers löscht Benutzersätze nicht, wenn das Änderungsdatum eines Benutzersatzes aktueller als die Werte in "Nr. of days membershp is expired" (mxp) bzw. "Nr. of days inactive" (bxp) ist. Dass das Mitgliedschaftsende und die letzte Aktivität für eine Löschung ausreichend lange zurückliegen, wird dann nicht berücksichtigt. </w:t>
              <w:br w:type="textWrapping"/>
              <w:br w:type="textWrapping"/>
              <w:t xml:space="preserve">Eine verlässliche Nutzerlöschung ist aus Datenschutzgründen notwendig. </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w:t>
            </w:r>
            <w:r w:rsidDel="00000000" w:rsidR="00000000" w:rsidRPr="00000000">
              <w:rPr>
                <w:b w:val="1"/>
                <w:color w:val="c00000"/>
                <w:rtl w:val="0"/>
              </w:rPr>
              <w:t xml:space="preserve">High</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Reopened</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Lösungsversion</w:t>
            </w:r>
            <w:r w:rsidDel="00000000" w:rsidR="00000000" w:rsidRPr="00000000">
              <w:rPr>
                <w:rtl w:val="0"/>
              </w:rPr>
              <w:t xml:space="preserve">: 2.8.4.4</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0" w:before="0" w:line="240" w:lineRule="auto"/>
              <w:ind w:left="720" w:firstLine="0"/>
              <w:rPr/>
            </w:pPr>
            <w:r w:rsidDel="00000000" w:rsidR="00000000" w:rsidRPr="00000000">
              <w:rPr>
                <w:rtl w:val="0"/>
              </w:rPr>
            </w:r>
          </w:p>
        </w:tc>
      </w:tr>
      <w:tr>
        <w:tc>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ebenfalls:</w:t>
              <w:br w:type="textWrapping"/>
            </w:r>
            <w:hyperlink r:id="rId8">
              <w:r w:rsidDel="00000000" w:rsidR="00000000" w:rsidRPr="00000000">
                <w:rPr>
                  <w:color w:val="0000ff"/>
                  <w:u w:val="single"/>
                  <w:rtl w:val="0"/>
                </w:rPr>
                <w:t xml:space="preserve">LBS-1222</w:t>
              </w:r>
            </w:hyperlink>
            <w:r w:rsidDel="00000000" w:rsidR="00000000" w:rsidRPr="00000000">
              <w:fldChar w:fldCharType="begin"/>
              <w:instrText xml:space="preserve"> HYPERLINK "https://issues.oclcpica.org/browse/LBS-1222"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"https://issues.oclcpica.org/browse/LBS-1222"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"https://issues.oclcpica.org/browse/LBS-1222" </w:instrText>
              <w:fldChar w:fldCharType="separate"/>
            </w:r>
            <w:r w:rsidDel="00000000" w:rsidR="00000000" w:rsidRPr="00000000">
              <w:fldChar w:fldCharType="end"/>
            </w:r>
            <w:hyperlink r:id="rId9">
              <w:r w:rsidDel="00000000" w:rsidR="00000000" w:rsidRPr="00000000">
                <w:rPr>
                  <w:color w:val="0000ff"/>
                  <w:u w:val="single"/>
                  <w:rtl w:val="0"/>
                </w:rPr>
                <w:t xml:space="preserve">LBSVIER-141</w:t>
              </w:r>
            </w:hyperlink>
            <w:r w:rsidDel="00000000" w:rsidR="00000000" w:rsidRPr="00000000">
              <w:rPr>
                <w:rtl w:val="0"/>
              </w:rPr>
              <w:t xml:space="preserve"> </w:t>
            </w:r>
            <w:r w:rsidDel="00000000" w:rsidR="00000000" w:rsidRPr="00000000">
              <w:rPr>
                <w:b w:val="1"/>
                <w:rtl w:val="0"/>
              </w:rPr>
              <w:t xml:space="preserve">OUS4 / APCC:</w:t>
            </w:r>
            <w:r w:rsidDel="00000000" w:rsidR="00000000" w:rsidRPr="00000000">
              <w:rPr>
                <w:rtl w:val="0"/>
              </w:rPr>
              <w:t xml:space="preserve"> </w:t>
            </w:r>
            <w:r w:rsidDel="00000000" w:rsidR="00000000" w:rsidRPr="00000000">
              <w:rPr>
                <w:b w:val="1"/>
                <w:rtl w:val="0"/>
              </w:rPr>
              <w:t xml:space="preserve">Das Programm Remove Borrowers wertet die Parameter "Nr. of days membershp is expired" (mxp) und "Nr. of days inactive" (bxp) unzuverlässig bzw. intransparent aus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Niedrig</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Das Programm Remove Borrowers kann mit den Parametern "Nr. of days membershp is expired" (mxp) und "Nr. of days inactive" (bxp) gestartet werden. Es funktioniert nicht immer zuverlässig, wenn nur einer der beiden Parameter (in unserem Fall mxp) besetzt ist, da nur dieser ausgewertet werden soll. </w:t>
              <w:br w:type="textWrapping"/>
              <w:t xml:space="preserve">Dies mag ein Dokumentationsproblem sein (es gibt hierzu keine Doku), wahrscheinlich aber eher ein Fehlverhalten, des Programmes. Es ist inhaltlich nicht nachvollziehbar ist, warum beide Parameter besetzt werden sollten. </w:t>
              <w:br w:type="textWrapping"/>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sz w:val="22"/>
                <w:szCs w:val="22"/>
              </w:rPr>
            </w:pPr>
            <w:r w:rsidDel="00000000" w:rsidR="00000000" w:rsidRPr="00000000">
              <w:rPr>
                <w:rFonts w:ascii="Calibri" w:cs="Calibri" w:eastAsia="Calibri" w:hAnsi="Calibri"/>
                <w:b w:val="1"/>
                <w:color w:val="c00000"/>
                <w:sz w:val="22"/>
                <w:szCs w:val="22"/>
                <w:rtl w:val="0"/>
              </w:rPr>
              <w:t xml:space="preserve">Enlarge / clarify Specs.  in LBS-1222 (mxp und bxp should be optional – at least one of the values)</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c>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hyperlink r:id="rId10">
              <w:r w:rsidDel="00000000" w:rsidR="00000000" w:rsidRPr="00000000">
                <w:rPr>
                  <w:color w:val="0000ff"/>
                  <w:u w:val="single"/>
                  <w:rtl w:val="0"/>
                </w:rPr>
                <w:t xml:space="preserve">LBS-2967</w:t>
              </w:r>
            </w:hyperlink>
            <w:r w:rsidDel="00000000" w:rsidR="00000000" w:rsidRPr="00000000">
              <w:fldChar w:fldCharType="begin"/>
              <w:instrText xml:space="preserve"> HYPERLINK "https://issues.oclcpica.org/browse/LBS-2967"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"https://issues.oclcpica.org/browse/LBS-2967" </w:instrText>
              <w:fldChar w:fldCharType="separate"/>
            </w:r>
            <w:r w:rsidDel="00000000" w:rsidR="00000000" w:rsidRPr="00000000">
              <w:fldChar w:fldCharType="end"/>
            </w:r>
            <w:r w:rsidDel="00000000" w:rsidR="00000000" w:rsidRPr="00000000">
              <w:rPr>
                <w:rtl w:val="0"/>
              </w:rPr>
              <w:t xml:space="preserve">OUS4</w:t>
            </w:r>
            <w:r w:rsidDel="00000000" w:rsidR="00000000" w:rsidRPr="00000000">
              <w:rPr>
                <w:b w:val="1"/>
                <w:rtl w:val="0"/>
              </w:rPr>
              <w:t xml:space="preserve">: It is possible to set borrower bar to NULL via Client</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Sometimes libraries report that there is no borrower bar any longer. In the search result list the borrower is shown, but you cannot choose this borrower to see his complete borrower data.</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happens when a new borrower card is given out - if the member of staff does not do the correct steps for changing the borrower bar in OUS4.</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OUS4 should not allow that a borrower bar NULL can be stored.</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hyperlink r:id="rId11">
              <w:r w:rsidDel="00000000" w:rsidR="00000000" w:rsidRPr="00000000">
                <w:rPr>
                  <w:color w:val="0000ff"/>
                  <w:u w:val="single"/>
                  <w:rtl w:val="0"/>
                </w:rPr>
                <w:t xml:space="preserve">LBSVIER-411</w:t>
              </w:r>
            </w:hyperlink>
            <w:r w:rsidDel="00000000" w:rsidR="00000000" w:rsidRPr="00000000">
              <w:rPr>
                <w:rtl w:val="0"/>
              </w:rPr>
              <w:t xml:space="preserve"> </w:t>
            </w:r>
            <w:r w:rsidDel="00000000" w:rsidR="00000000" w:rsidRPr="00000000">
              <w:rPr>
                <w:b w:val="1"/>
                <w:rtl w:val="0"/>
              </w:rPr>
              <w:t xml:space="preserve">Benutzernummer kann als "null" gespeichert werden</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Niedrig</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Beim Speichern eines Benutzers kann es passieren, dass die Benutzernummer durch "null" ersetzt wird. </w:t>
              <w:br w:type="textWrapping"/>
              <w:t xml:space="preserve">Die Nutzer lassen sich dann zwar noch über den Namen recherchieren, aber nicht mehr in die Benutzeranzeige übernehmen: "Der Benutzer ist nicht vorhanden." </w:t>
              <w:br w:type="textWrapping"/>
              <w:br w:type="textWrapping"/>
              <w:t xml:space="preserve">Eine Korrektur ist nur über OUS3 möglich. </w:t>
              <w:br w:type="textWrapping"/>
              <w:br w:type="textWrapping"/>
              <w:t xml:space="preserve">Dies ist in der ILN 23 bis jetzt zweimal passiert. Auslöser waren "Tastenabrutscher". Die Prüfziffernroutine 2 ist für die ILN aktiviert.</w:t>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b w:val="1"/>
              </w:rPr>
            </w:pPr>
            <w:r w:rsidDel="00000000" w:rsidR="00000000" w:rsidRPr="00000000">
              <w:rPr>
                <w:b w:val="1"/>
                <w:u w:val="single"/>
                <w:rtl w:val="0"/>
              </w:rPr>
              <w:t xml:space="preserve">Priority</w:t>
            </w:r>
            <w:r w:rsidDel="00000000" w:rsidR="00000000" w:rsidRPr="00000000">
              <w:rPr>
                <w:b w:val="1"/>
                <w:rtl w:val="0"/>
              </w:rPr>
              <w:t xml:space="preserve">: Low</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Offen</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Lösungsversion</w:t>
            </w:r>
            <w:r w:rsidDel="00000000" w:rsidR="00000000" w:rsidRPr="00000000">
              <w:rPr>
                <w:rtl w:val="0"/>
              </w:rPr>
              <w:t xml:space="preserve">:  Keine</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Comment VZG:</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Annoying problem, but difficult to reproduce</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c>
          <w:tcPr>
            <w:gridSpan w:val="4"/>
            <w:shd w:fill="8db3e2"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Konversionstabellen</w:t>
            </w:r>
            <w:r w:rsidDel="00000000" w:rsidR="00000000" w:rsidRPr="00000000">
              <w:rPr>
                <w:rtl w:val="0"/>
              </w:rPr>
            </w:r>
          </w:p>
        </w:tc>
      </w:tr>
      <w:tr>
        <w:tc>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after="0" w:before="0" w:line="240" w:lineRule="auto"/>
              <w:rPr/>
            </w:pPr>
            <w:hyperlink r:id="rId12">
              <w:r w:rsidDel="00000000" w:rsidR="00000000" w:rsidRPr="00000000">
                <w:rPr>
                  <w:rFonts w:ascii="Calibri" w:cs="Calibri" w:eastAsia="Calibri" w:hAnsi="Calibri"/>
                  <w:b w:val="0"/>
                  <w:color w:val="0000ff"/>
                  <w:sz w:val="22"/>
                  <w:szCs w:val="22"/>
                  <w:u w:val="single"/>
                  <w:rtl w:val="0"/>
                </w:rPr>
                <w:t xml:space="preserve">LBS-3995</w:t>
              </w:r>
            </w:hyperlink>
            <w:r w:rsidDel="00000000" w:rsidR="00000000" w:rsidRPr="00000000">
              <w:fldChar w:fldCharType="begin"/>
              <w:instrText xml:space="preserve"> HYPERLINK "https://issues.oclcpica.org/browse/LBS-3995"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fldChar w:fldCharType="begin"/>
              <w:instrText xml:space="preserve"> HYPERLINK "https://issues.oclcpica.org/browse/LBS-3995" </w:instrText>
              <w:fldChar w:fldCharType="separate"/>
            </w:r>
            <w:r w:rsidDel="00000000" w:rsidR="00000000" w:rsidRPr="00000000">
              <w:fldChar w:fldCharType="end"/>
            </w:r>
            <w:r w:rsidDel="00000000" w:rsidR="00000000" w:rsidRPr="00000000">
              <w:rPr>
                <w:rFonts w:ascii="Calibri" w:cs="Calibri" w:eastAsia="Calibri" w:hAnsi="Calibri"/>
                <w:b w:val="1"/>
                <w:sz w:val="22"/>
                <w:szCs w:val="22"/>
                <w:rtl w:val="0"/>
              </w:rPr>
              <w:t xml:space="preserve">LBS5: adjusting ous_conversie</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Beschreibung</w:t>
            </w:r>
            <w:r w:rsidDel="00000000" w:rsidR="00000000" w:rsidRPr="00000000">
              <w:rPr>
                <w:rtl w:val="0"/>
              </w:rPr>
              <w:t xml:space="preserve">: Wie können in LBS5 die Konversionstabellen bearbeitet werden? </w:t>
              <w:br w:type="textWrapping"/>
              <w:t xml:space="preserve">Konversionstabelle 99 wird bei der Bildung von query_name berücksichtigt. Konversionstabelle 2 wird bei der Interpretation der Signaturen in Bezug auf die Konkordanzvorschrift (Zuordnung zu OUS-Standorten) verwendet. Bisher passen wir diese Konversionstabellen (.asc-Dateien) an und lesen sie mit doe inl_conversie in die Datenbank ein.</w:t>
              <w:br w:type="textWrapping"/>
              <w:t xml:space="preserve">Wie können wir zukünftig verfahren, wenn Änderungen an einer dieser Tabellen erforderlich sind?</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b w:val="1"/>
              </w:rPr>
            </w:pPr>
            <w:r w:rsidDel="00000000" w:rsidR="00000000" w:rsidRPr="00000000">
              <w:rPr>
                <w:b w:val="1"/>
                <w:u w:val="single"/>
                <w:rtl w:val="0"/>
              </w:rPr>
              <w:t xml:space="preserve">Priorität: </w:t>
            </w:r>
            <w:r w:rsidDel="00000000" w:rsidR="00000000" w:rsidRPr="00000000">
              <w:rPr>
                <w:b w:val="1"/>
                <w:color w:val="ff0000"/>
                <w:rtl w:val="0"/>
              </w:rPr>
              <w:t xml:space="preserve">High</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u w:val="single"/>
              </w:rPr>
            </w:pPr>
            <w:r w:rsidDel="00000000" w:rsidR="00000000" w:rsidRPr="00000000">
              <w:rPr>
                <w:u w:val="single"/>
                <w:rtl w:val="0"/>
              </w:rPr>
              <w:t xml:space="preserve">Status:</w:t>
            </w:r>
            <w:r w:rsidDel="00000000" w:rsidR="00000000" w:rsidRPr="00000000">
              <w:rPr>
                <w:color w:val="ff0000"/>
                <w:rtl w:val="0"/>
              </w:rPr>
              <w:t xml:space="preserve"> </w:t>
            </w:r>
            <w:r w:rsidDel="00000000" w:rsidR="00000000" w:rsidRPr="00000000">
              <w:rPr>
                <w:rtl w:val="0"/>
              </w:rPr>
              <w:t xml:space="preserve">Offen</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Lösungsversion</w:t>
            </w:r>
            <w:r w:rsidDel="00000000" w:rsidR="00000000" w:rsidRPr="00000000">
              <w:rPr>
                <w:rtl w:val="0"/>
              </w:rPr>
              <w:t xml:space="preserve">: Keine</w:t>
              <w:br w:type="textWrapping"/>
            </w:r>
            <w:r w:rsidDel="00000000" w:rsidR="00000000" w:rsidRPr="00000000">
              <w:rPr>
                <w:u w:val="single"/>
                <w:rtl w:val="0"/>
              </w:rPr>
              <w:t xml:space="preserve">Erstellt</w:t>
            </w:r>
            <w:r w:rsidDel="00000000" w:rsidR="00000000" w:rsidRPr="00000000">
              <w:rPr>
                <w:rtl w:val="0"/>
              </w:rPr>
              <w:t xml:space="preserve">: 23.9.2014</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VZG: OCLC no reaction</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after="0" w:before="0" w:line="240" w:lineRule="auto"/>
              <w:ind w:left="720" w:firstLine="0"/>
              <w:rPr/>
            </w:pPr>
            <w:r w:rsidDel="00000000" w:rsidR="00000000" w:rsidRPr="00000000">
              <w:rPr>
                <w:rtl w:val="0"/>
              </w:rPr>
            </w:r>
          </w:p>
        </w:tc>
      </w:tr>
      <w:tr>
        <w:tc>
          <w:tcPr>
            <w:gridSpan w:val="4"/>
            <w:shd w:fill="8db3e2"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Usability</w:t>
            </w:r>
            <w:r w:rsidDel="00000000" w:rsidR="00000000" w:rsidRPr="00000000">
              <w:rPr>
                <w:rtl w:val="0"/>
              </w:rPr>
            </w:r>
          </w:p>
        </w:tc>
      </w:tr>
      <w:tr>
        <w:tc>
          <w:tcPr/>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after="0" w:before="0" w:line="240" w:lineRule="auto"/>
              <w:rPr/>
            </w:pPr>
            <w:hyperlink r:id="rId13">
              <w:r w:rsidDel="00000000" w:rsidR="00000000" w:rsidRPr="00000000">
                <w:rPr>
                  <w:rFonts w:ascii="Calibri" w:cs="Calibri" w:eastAsia="Calibri" w:hAnsi="Calibri"/>
                  <w:b w:val="0"/>
                  <w:color w:val="0000ff"/>
                  <w:sz w:val="22"/>
                  <w:szCs w:val="22"/>
                  <w:u w:val="single"/>
                  <w:rtl w:val="0"/>
                </w:rPr>
                <w:t xml:space="preserve">LBS-1198</w:t>
              </w:r>
            </w:hyperlink>
            <w:r w:rsidDel="00000000" w:rsidR="00000000" w:rsidRPr="00000000">
              <w:fldChar w:fldCharType="begin"/>
              <w:instrText xml:space="preserve"> HYPERLINK "https://issues.oclcpica.org/browse/LBS-1198"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fldChar w:fldCharType="begin"/>
              <w:instrText xml:space="preserve"> HYPERLINK "https://issues.oclcpica.org/browse/LBS-1198" </w:instrText>
              <w:fldChar w:fldCharType="separate"/>
            </w:r>
            <w:r w:rsidDel="00000000" w:rsidR="00000000" w:rsidRPr="00000000">
              <w:fldChar w:fldCharType="end"/>
            </w:r>
            <w:r w:rsidDel="00000000" w:rsidR="00000000" w:rsidRPr="00000000">
              <w:rPr>
                <w:rFonts w:ascii="Calibri" w:cs="Calibri" w:eastAsia="Calibri" w:hAnsi="Calibri"/>
                <w:b w:val="1"/>
                <w:sz w:val="22"/>
                <w:szCs w:val="22"/>
                <w:rtl w:val="0"/>
              </w:rPr>
              <w:t xml:space="preserve">Make it possible for users to set the default tab on the borrower screen, just like in ACQ</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b w:val="1"/>
              </w:rPr>
            </w:pPr>
            <w:hyperlink r:id="rId14">
              <w:r w:rsidDel="00000000" w:rsidR="00000000" w:rsidRPr="00000000">
                <w:rPr>
                  <w:color w:val="0000ff"/>
                  <w:u w:val="single"/>
                  <w:rtl w:val="0"/>
                </w:rPr>
                <w:t xml:space="preserve">LBSVIER-322</w:t>
              </w:r>
            </w:hyperlink>
            <w:r w:rsidDel="00000000" w:rsidR="00000000" w:rsidRPr="00000000">
              <w:rPr>
                <w:color w:val="0000ff"/>
                <w:u w:val="single"/>
                <w:rtl w:val="0"/>
              </w:rPr>
              <w:t xml:space="preserve"> </w:t>
            </w:r>
            <w:r w:rsidDel="00000000" w:rsidR="00000000" w:rsidRPr="00000000">
              <w:rPr>
                <w:b w:val="1"/>
                <w:rtl w:val="0"/>
              </w:rPr>
              <w:t xml:space="preserve">OUS4: Schirm "Benutzer anzeigen / ändern": Möglichkeit, die Registerkarten individuell zu sortieren</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Niedrig</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t xml:space="preserve">Bisher ist im Schirm "Benutzer anzeigen/ändern" die Reihenfolge der Registerkarten / Tabs ("Adr"., "Texte", etc.) vorgegeben.</w:t>
              <w:br w:type="textWrapping"/>
              <w:t xml:space="preserve">Es wäre sinnvoll, die Reihenfolge der Registerkarten pro Kennung individuell einstellen zu können (entsprechend der Funktion im ACQ).</w:t>
            </w: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Priorität</w:t>
            </w:r>
            <w:r w:rsidDel="00000000" w:rsidR="00000000" w:rsidRPr="00000000">
              <w:rPr>
                <w:b w:val="1"/>
                <w:color w:val="ff0000"/>
                <w:u w:val="single"/>
                <w:rtl w:val="0"/>
              </w:rPr>
              <w:t xml:space="preserve">:</w:t>
            </w:r>
            <w:r w:rsidDel="00000000" w:rsidR="00000000" w:rsidRPr="00000000">
              <w:rPr>
                <w:b w:val="1"/>
                <w:color w:val="ff0000"/>
                <w:rtl w:val="0"/>
              </w:rPr>
              <w:t xml:space="preserve"> Medium</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u w:val="single"/>
              </w:rPr>
            </w:pPr>
            <w:r w:rsidDel="00000000" w:rsidR="00000000" w:rsidRPr="00000000">
              <w:rPr>
                <w:u w:val="single"/>
                <w:rtl w:val="0"/>
              </w:rPr>
              <w:t xml:space="preserve">Status: </w:t>
            </w:r>
            <w:r w:rsidDel="00000000" w:rsidR="00000000" w:rsidRPr="00000000">
              <w:rPr>
                <w:rtl w:val="0"/>
              </w:rPr>
              <w:t xml:space="preserve">offen</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Lösungsversion</w:t>
            </w:r>
            <w:r w:rsidDel="00000000" w:rsidR="00000000" w:rsidRPr="00000000">
              <w:rPr>
                <w:b w:val="1"/>
                <w:rtl w:val="0"/>
              </w:rPr>
              <w:t xml:space="preserve">: </w:t>
            </w:r>
            <w:r w:rsidDel="00000000" w:rsidR="00000000" w:rsidRPr="00000000">
              <w:rPr>
                <w:rtl w:val="0"/>
              </w:rPr>
              <w:t xml:space="preserve">Keine</w:t>
              <w:br w:type="textWrapping"/>
            </w:r>
            <w:r w:rsidDel="00000000" w:rsidR="00000000" w:rsidRPr="00000000">
              <w:rPr>
                <w:u w:val="single"/>
                <w:rtl w:val="0"/>
              </w:rPr>
              <w:t xml:space="preserve">Erstellt</w:t>
            </w:r>
            <w:r w:rsidDel="00000000" w:rsidR="00000000" w:rsidRPr="00000000">
              <w:rPr>
                <w:b w:val="1"/>
                <w:rtl w:val="0"/>
              </w:rPr>
              <w:t xml:space="preserve">:</w:t>
            </w:r>
            <w:r w:rsidDel="00000000" w:rsidR="00000000" w:rsidRPr="00000000">
              <w:rPr>
                <w:rtl w:val="0"/>
              </w:rPr>
              <w:t xml:space="preserve"> 12.8.2009</w:t>
              <w:br w:type="textWrapping"/>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Kommentar VZG:</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4.8.2015: again reported. It is relevant.</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spacing w:after="0" w:before="0" w:line="240" w:lineRule="auto"/>
              <w:ind w:left="720" w:firstLine="0"/>
              <w:rPr>
                <w:rFonts w:ascii="Calibri" w:cs="Calibri" w:eastAsia="Calibri" w:hAnsi="Calibri"/>
                <w:b w:val="1"/>
                <w:sz w:val="22"/>
                <w:szCs w:val="22"/>
                <w:u w:val="single"/>
              </w:rPr>
            </w:pPr>
            <w:r w:rsidDel="00000000" w:rsidR="00000000" w:rsidRPr="00000000">
              <w:rPr>
                <w:rtl w:val="0"/>
              </w:rPr>
            </w:r>
          </w:p>
        </w:tc>
      </w:tr>
      <w:tr>
        <w:tc>
          <w:tcPr>
            <w:gridSpan w:val="4"/>
            <w:shd w:fill="8db3e2" w:val="clear"/>
          </w:tcPr>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Konvolutbearbteitung</w:t>
            </w:r>
            <w:r w:rsidDel="00000000" w:rsidR="00000000" w:rsidRPr="00000000">
              <w:rPr>
                <w:rtl w:val="0"/>
              </w:rPr>
            </w:r>
          </w:p>
        </w:tc>
      </w:tr>
      <w:tr>
        <w:tc>
          <w:tcPr/>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LBS-000</w:t>
            </w:r>
            <w:r w:rsidDel="00000000" w:rsidR="00000000" w:rsidRPr="00000000">
              <w:rPr>
                <w:rtl w:val="0"/>
              </w:rPr>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pPr>
            <w:hyperlink r:id="rId15">
              <w:r w:rsidDel="00000000" w:rsidR="00000000" w:rsidRPr="00000000">
                <w:rPr>
                  <w:color w:val="0000ff"/>
                  <w:u w:val="single"/>
                  <w:rtl w:val="0"/>
                </w:rPr>
                <w:t xml:space="preserve">LBSVIER-837</w:t>
              </w:r>
            </w:hyperlink>
            <w:r w:rsidDel="00000000" w:rsidR="00000000" w:rsidRPr="00000000">
              <w:rPr>
                <w:rtl w:val="0"/>
              </w:rPr>
              <w:t xml:space="preserve"> </w:t>
            </w:r>
            <w:r w:rsidDel="00000000" w:rsidR="00000000" w:rsidRPr="00000000">
              <w:rPr>
                <w:b w:val="1"/>
                <w:rtl w:val="0"/>
              </w:rPr>
              <w:t xml:space="preserve">OUS4 – Möglichkeit, mehrere EPNs gleichzeitig auf den Konv.-Schirm zu transferieren</w:t>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Neutral</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Wenn man über den Menüpunkt „Bände“ / Registerkarte „Konv“ Konvolute bearbeitet, kann man sich zwar gleich mehrere Eingabefelder für EPNs öffnen, trotzdem muss man jede EPN einzeln suchen und auf den „Konv“-Schirm holen. Eine echte Verbesserung wäre es, wenn man aus dem Suchschirm gleich mehrere EPNs aussuchen und dann zusammen auf den „Konv“-Schirm holen könnte.</w:t>
            </w:r>
          </w:p>
        </w:tc>
        <w:tc>
          <w:tcPr/>
          <w:p w:rsidR="00000000" w:rsidDel="00000000" w:rsidP="00000000" w:rsidRDefault="00000000" w:rsidRPr="00000000" w14:paraId="00000084">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Fonts w:ascii="Calibri" w:cs="Calibri" w:eastAsia="Calibri" w:hAnsi="Calibri"/>
                <w:b w:val="1"/>
                <w:color w:val="c00000"/>
                <w:sz w:val="22"/>
                <w:szCs w:val="22"/>
                <w:rtl w:val="0"/>
              </w:rPr>
              <w:t xml:space="preserve">TBD in Jira! </w:t>
            </w:r>
            <w:r w:rsidDel="00000000" w:rsidR="00000000" w:rsidRPr="00000000">
              <w:rPr>
                <w:rtl w:val="0"/>
              </w:rPr>
            </w:r>
          </w:p>
          <w:p w:rsidR="00000000" w:rsidDel="00000000" w:rsidP="00000000" w:rsidRDefault="00000000" w:rsidRPr="00000000" w14:paraId="00000085">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Fonts w:ascii="Calibri" w:cs="Calibri" w:eastAsia="Calibri" w:hAnsi="Calibri"/>
                <w:b w:val="1"/>
                <w:color w:val="c00000"/>
                <w:sz w:val="22"/>
                <w:szCs w:val="22"/>
                <w:rtl w:val="0"/>
              </w:rPr>
              <w:t xml:space="preserve">Priority: low</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tc>
      </w:tr>
      <w:tr>
        <w:tc>
          <w:tcPr/>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LBS-000</w:t>
            </w: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b w:val="1"/>
              </w:rPr>
            </w:pPr>
            <w:hyperlink r:id="rId16">
              <w:r w:rsidDel="00000000" w:rsidR="00000000" w:rsidRPr="00000000">
                <w:rPr>
                  <w:color w:val="0000ff"/>
                  <w:u w:val="single"/>
                  <w:rtl w:val="0"/>
                </w:rPr>
                <w:t xml:space="preserve">LBSVIER-838</w:t>
              </w:r>
            </w:hyperlink>
            <w:r w:rsidDel="00000000" w:rsidR="00000000" w:rsidRPr="00000000">
              <w:rPr>
                <w:rtl w:val="0"/>
              </w:rPr>
              <w:t xml:space="preserve"> </w:t>
            </w:r>
            <w:r w:rsidDel="00000000" w:rsidR="00000000" w:rsidRPr="00000000">
              <w:rPr>
                <w:b w:val="1"/>
                <w:rtl w:val="0"/>
              </w:rPr>
              <w:t xml:space="preserve">OUS4 – Bei Fehlermeldung Angabe der EPN gewünscht</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Neutral</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Wenn man auf der Registerkarte „Konv“ mehrere EPN-Eingabefelder geöffnet und mit EPNs gefüllt hat, möchte man die ja speichern. Wenn man aber eine falsche EPN rüber geholt hat, kommt ggf. eine Fehlermeldung der Art „EPN hat keinen Konvolutindikator“ oder „EPN ist bereits mit einem Konvolut verknüpft“ oder ähnlich. Da wäre es hilfreich, wenn in der Fehlermeldung stehen würde, welche EPN das betrifft.  </w:t>
            </w:r>
          </w:p>
        </w:tc>
        <w:tc>
          <w:tcPr/>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Fonts w:ascii="Calibri" w:cs="Calibri" w:eastAsia="Calibri" w:hAnsi="Calibri"/>
                <w:b w:val="1"/>
                <w:color w:val="c00000"/>
                <w:sz w:val="22"/>
                <w:szCs w:val="22"/>
                <w:rtl w:val="0"/>
              </w:rPr>
              <w:t xml:space="preserve">TBD in Jira! </w:t>
            </w:r>
            <w:r w:rsidDel="00000000" w:rsidR="00000000" w:rsidRPr="00000000">
              <w:rPr>
                <w:rtl w:val="0"/>
              </w:rPr>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Fonts w:ascii="Calibri" w:cs="Calibri" w:eastAsia="Calibri" w:hAnsi="Calibri"/>
                <w:b w:val="1"/>
                <w:color w:val="c00000"/>
                <w:sz w:val="22"/>
                <w:szCs w:val="22"/>
                <w:rtl w:val="0"/>
              </w:rPr>
              <w:t xml:space="preserve">Priority: low</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tc>
      </w:tr>
      <w:tr>
        <w:tc>
          <w:tcPr>
            <w:gridSpan w:val="4"/>
            <w:shd w:fill="8db3e2" w:val="clear"/>
          </w:tcPr>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Sonderfälle</w:t>
            </w:r>
            <w:r w:rsidDel="00000000" w:rsidR="00000000" w:rsidRPr="00000000">
              <w:rPr>
                <w:rtl w:val="0"/>
              </w:rPr>
            </w:r>
          </w:p>
        </w:tc>
      </w:tr>
      <w:tr>
        <w:tc>
          <w:tcPr/>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spacing w:after="0" w:before="0" w:line="240" w:lineRule="auto"/>
              <w:rPr/>
            </w:pPr>
            <w:hyperlink r:id="rId17">
              <w:r w:rsidDel="00000000" w:rsidR="00000000" w:rsidRPr="00000000">
                <w:rPr>
                  <w:rFonts w:ascii="Calibri" w:cs="Calibri" w:eastAsia="Calibri" w:hAnsi="Calibri"/>
                  <w:b w:val="0"/>
                  <w:color w:val="0000ff"/>
                  <w:sz w:val="22"/>
                  <w:szCs w:val="22"/>
                  <w:u w:val="single"/>
                  <w:rtl w:val="0"/>
                </w:rPr>
                <w:t xml:space="preserve">LBS-3131</w:t>
              </w:r>
            </w:hyperlink>
            <w:r w:rsidDel="00000000" w:rsidR="00000000" w:rsidRPr="00000000">
              <w:fldChar w:fldCharType="begin"/>
              <w:instrText xml:space="preserve"> HYPERLINK "https://issues.oclcpica.org/browse/LBS-3131"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fldChar w:fldCharType="begin"/>
              <w:instrText xml:space="preserve"> HYPERLINK "https://issues.oclcpica.org/browse/LBS-3131" </w:instrText>
              <w:fldChar w:fldCharType="separate"/>
            </w:r>
            <w:r w:rsidDel="00000000" w:rsidR="00000000" w:rsidRPr="00000000">
              <w:fldChar w:fldCharType="end"/>
            </w:r>
            <w:r w:rsidDel="00000000" w:rsidR="00000000" w:rsidRPr="00000000">
              <w:rPr>
                <w:rFonts w:ascii="Calibri" w:cs="Calibri" w:eastAsia="Calibri" w:hAnsi="Calibri"/>
                <w:b w:val="1"/>
                <w:sz w:val="22"/>
                <w:szCs w:val="22"/>
                <w:rtl w:val="0"/>
              </w:rPr>
              <w:t xml:space="preserve">OUS4: Request: input value (e.g. type of loan) on clipboard is not saved</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hyperlink r:id="rId18">
              <w:r w:rsidDel="00000000" w:rsidR="00000000" w:rsidRPr="00000000">
                <w:rPr>
                  <w:rFonts w:ascii="Calibri" w:cs="Calibri" w:eastAsia="Calibri" w:hAnsi="Calibri"/>
                  <w:b w:val="0"/>
                  <w:color w:val="0000ff"/>
                  <w:sz w:val="22"/>
                  <w:szCs w:val="22"/>
                  <w:u w:val="single"/>
                  <w:rtl w:val="0"/>
                </w:rPr>
                <w:t xml:space="preserve">LBSVIER-674</w:t>
              </w:r>
            </w:hyperlink>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1"/>
                <w:sz w:val="22"/>
                <w:szCs w:val="22"/>
                <w:rtl w:val="0"/>
              </w:rPr>
              <w:t xml:space="preserve">Werte auf dem Funktionsschirm werden beim Bestellen in OUS4 nicht berücksichtigt.</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ff0000"/>
                <w:sz w:val="22"/>
                <w:szCs w:val="22"/>
              </w:rPr>
            </w:pPr>
            <w:r w:rsidDel="00000000" w:rsidR="00000000" w:rsidRPr="00000000">
              <w:rPr>
                <w:rFonts w:ascii="Calibri" w:cs="Calibri" w:eastAsia="Calibri" w:hAnsi="Calibri"/>
                <w:b w:val="1"/>
                <w:sz w:val="22"/>
                <w:szCs w:val="22"/>
                <w:u w:val="single"/>
                <w:rtl w:val="0"/>
              </w:rPr>
              <w:t xml:space="preserve">Priorität: </w:t>
            </w:r>
            <w:r w:rsidDel="00000000" w:rsidR="00000000" w:rsidRPr="00000000">
              <w:rPr>
                <w:rFonts w:ascii="Calibri" w:cs="Calibri" w:eastAsia="Calibri" w:hAnsi="Calibri"/>
                <w:b w:val="1"/>
                <w:color w:val="ff0000"/>
                <w:sz w:val="22"/>
                <w:szCs w:val="22"/>
                <w:rtl w:val="0"/>
              </w:rPr>
              <w:t xml:space="preserve">Medium</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Status: </w:t>
            </w:r>
            <w:r w:rsidDel="00000000" w:rsidR="00000000" w:rsidRPr="00000000">
              <w:rPr>
                <w:rFonts w:ascii="Calibri" w:cs="Calibri" w:eastAsia="Calibri" w:hAnsi="Calibri"/>
                <w:b w:val="0"/>
                <w:sz w:val="22"/>
                <w:szCs w:val="22"/>
                <w:rtl w:val="0"/>
              </w:rPr>
              <w:t xml:space="preserve">Offen</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Lösungsversion</w:t>
            </w:r>
            <w:r w:rsidDel="00000000" w:rsidR="00000000" w:rsidRPr="00000000">
              <w:rPr>
                <w:rFonts w:ascii="Calibri" w:cs="Calibri" w:eastAsia="Calibri" w:hAnsi="Calibri"/>
                <w:b w:val="0"/>
                <w:sz w:val="22"/>
                <w:szCs w:val="22"/>
                <w:rtl w:val="0"/>
              </w:rPr>
              <w:t xml:space="preserve">: keine</w:t>
              <w:br w:type="textWrapping"/>
            </w: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21.05.2013</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c00000"/>
                <w:sz w:val="22"/>
                <w:szCs w:val="22"/>
              </w:rPr>
            </w:pPr>
            <w:r w:rsidDel="00000000" w:rsidR="00000000" w:rsidRPr="00000000">
              <w:rPr>
                <w:rFonts w:ascii="Calibri" w:cs="Calibri" w:eastAsia="Calibri" w:hAnsi="Calibri"/>
                <w:b w:val="0"/>
                <w:color w:val="c00000"/>
                <w:sz w:val="22"/>
                <w:szCs w:val="22"/>
                <w:rtl w:val="0"/>
              </w:rPr>
              <w:t xml:space="preserve">Comment  VZG:</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c00000"/>
                <w:sz w:val="22"/>
                <w:szCs w:val="22"/>
              </w:rPr>
            </w:pPr>
            <w:r w:rsidDel="00000000" w:rsidR="00000000" w:rsidRPr="00000000">
              <w:rPr>
                <w:rFonts w:ascii="Calibri" w:cs="Calibri" w:eastAsia="Calibri" w:hAnsi="Calibri"/>
                <w:b w:val="0"/>
                <w:color w:val="c00000"/>
                <w:sz w:val="22"/>
                <w:szCs w:val="22"/>
                <w:rtl w:val="0"/>
              </w:rPr>
              <w:t xml:space="preserve">Important in general, but seldom seen in practice.</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after="0" w:before="0" w:line="240" w:lineRule="auto"/>
              <w:ind w:left="720" w:firstLine="0"/>
              <w:rPr/>
            </w:pPr>
            <w:r w:rsidDel="00000000" w:rsidR="00000000" w:rsidRPr="00000000">
              <w:rPr>
                <w:rtl w:val="0"/>
              </w:rPr>
            </w:r>
          </w:p>
        </w:tc>
      </w:tr>
      <w:tr>
        <w:tc>
          <w:tcPr>
            <w:gridSpan w:val="4"/>
            <w:shd w:fill="8db3e2" w:val="clear"/>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rtl w:val="0"/>
              </w:rPr>
              <w:t xml:space="preserve">Offline Jobs</w:t>
            </w:r>
            <w:r w:rsidDel="00000000" w:rsidR="00000000" w:rsidRPr="00000000">
              <w:rPr>
                <w:rtl w:val="0"/>
              </w:rPr>
            </w:r>
          </w:p>
        </w:tc>
      </w:tr>
      <w:tr>
        <w:tc>
          <w:tcPr/>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hyperlink r:id="rId19">
              <w:r w:rsidDel="00000000" w:rsidR="00000000" w:rsidRPr="00000000">
                <w:rPr>
                  <w:rFonts w:ascii="Calibri" w:cs="Calibri" w:eastAsia="Calibri" w:hAnsi="Calibri"/>
                  <w:b w:val="0"/>
                  <w:color w:val="0000ff"/>
                  <w:sz w:val="22"/>
                  <w:szCs w:val="22"/>
                  <w:u w:val="single"/>
                  <w:rtl w:val="0"/>
                </w:rPr>
                <w:t xml:space="preserve">LBS-2932</w:t>
              </w:r>
            </w:hyperlink>
            <w:r w:rsidDel="00000000" w:rsidR="00000000" w:rsidRPr="00000000">
              <w:fldChar w:fldCharType="begin"/>
              <w:instrText xml:space="preserve"> HYPERLINK "https://issues.oclcpica.org/browse/LBS-2932"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"https://issues.oclcpica.org/browse/LBS-2932" </w:instrText>
              <w:fldChar w:fldCharType="separate"/>
            </w:r>
            <w:r w:rsidDel="00000000" w:rsidR="00000000" w:rsidRPr="00000000">
              <w:fldChar w:fldCharType="end"/>
            </w:r>
            <w:r w:rsidDel="00000000" w:rsidR="00000000" w:rsidRPr="00000000">
              <w:rPr>
                <w:b w:val="1"/>
                <w:rtl w:val="0"/>
              </w:rPr>
              <w:t xml:space="preserve">Logfile without statistical data if there are no loans or issues to be reminded</w:t>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b w:val="1"/>
              </w:rPr>
            </w:pPr>
            <w:hyperlink r:id="rId20">
              <w:r w:rsidDel="00000000" w:rsidR="00000000" w:rsidRPr="00000000">
                <w:rPr>
                  <w:color w:val="0000ff"/>
                  <w:u w:val="single"/>
                  <w:rtl w:val="0"/>
                </w:rPr>
                <w:t xml:space="preserve">LBSVIER-652</w:t>
              </w:r>
            </w:hyperlink>
            <w:r w:rsidDel="00000000" w:rsidR="00000000" w:rsidRPr="00000000">
              <w:rPr>
                <w:rtl w:val="0"/>
              </w:rPr>
              <w:t xml:space="preserve">: </w:t>
            </w:r>
            <w:r w:rsidDel="00000000" w:rsidR="00000000" w:rsidRPr="00000000">
              <w:rPr>
                <w:b w:val="1"/>
                <w:rtl w:val="0"/>
              </w:rPr>
              <w:t xml:space="preserve">OUS4-Offline: Logfile ohne Statistikdaten beim Mahnlauf ohne Mahnfälle</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Beschreibung</w:t>
            </w:r>
            <w:r w:rsidDel="00000000" w:rsidR="00000000" w:rsidRPr="00000000">
              <w:rPr>
                <w:rtl w:val="0"/>
              </w:rPr>
              <w:t xml:space="preserve">: Wenn bei einem Mahnlauf keine Mahnfälle vorhanden sind, wird zwar das Logfile erzeugt. Es werden aber nur die Parameter protokolliert und nicht mehr die Mahnstatistik. </w:t>
              <w:br w:type="textWrapping"/>
              <w:t xml:space="preserve">Die Signalliste ist leer, auch wenn es Fälle geben würde. </w:t>
              <w:br w:type="textWrapping"/>
              <w:t xml:space="preserve">Aufgrund dieses Fehlers ist für den Systemverwalter nicht ersichtlich, ob das Programm zwischendurch abgebrochen ist oder einfach nur keine Mahnfälle vorhanden waren. Auch eine Signalliste muss bei jedem Mahnlauf aktuell erzeugt werden.</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ff0000"/>
                <w:sz w:val="22"/>
                <w:szCs w:val="22"/>
                <w:u w:val="single"/>
              </w:rPr>
            </w:pPr>
            <w:r w:rsidDel="00000000" w:rsidR="00000000" w:rsidRPr="00000000">
              <w:rPr>
                <w:rFonts w:ascii="Calibri" w:cs="Calibri" w:eastAsia="Calibri" w:hAnsi="Calibri"/>
                <w:b w:val="1"/>
                <w:sz w:val="22"/>
                <w:szCs w:val="22"/>
                <w:u w:val="single"/>
                <w:rtl w:val="0"/>
              </w:rPr>
              <w:t xml:space="preserve">Priorität:</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ff0000"/>
                <w:sz w:val="22"/>
                <w:szCs w:val="22"/>
                <w:rtl w:val="0"/>
              </w:rPr>
              <w:t xml:space="preserve">High</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Lösungsversion</w:t>
            </w:r>
            <w:r w:rsidDel="00000000" w:rsidR="00000000" w:rsidRPr="00000000">
              <w:rPr>
                <w:rFonts w:ascii="Calibri" w:cs="Calibri" w:eastAsia="Calibri" w:hAnsi="Calibri"/>
                <w:b w:val="0"/>
                <w:sz w:val="22"/>
                <w:szCs w:val="22"/>
                <w:rtl w:val="0"/>
              </w:rPr>
              <w:t xml:space="preserve">: 5.1</w:t>
              <w:br w:type="textWrapping"/>
            </w: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18.12.2012</w:t>
              <w:br w:type="textWrapping"/>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spacing w:after="0" w:before="0" w:line="240" w:lineRule="auto"/>
              <w:ind w:left="720" w:firstLine="0"/>
              <w:rPr/>
            </w:pPr>
            <w:r w:rsidDel="00000000" w:rsidR="00000000" w:rsidRPr="00000000">
              <w:rPr>
                <w:rtl w:val="0"/>
              </w:rPr>
            </w:r>
          </w:p>
        </w:tc>
      </w:tr>
      <w:tr>
        <w:tc>
          <w:tcPr>
            <w:gridSpan w:val="4"/>
            <w:shd w:fill="8db3e2" w:val="clear"/>
          </w:tcPr>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Loanfunction</w:t>
            </w:r>
            <w:r w:rsidDel="00000000" w:rsidR="00000000" w:rsidRPr="00000000">
              <w:rPr>
                <w:rtl w:val="0"/>
              </w:rPr>
            </w:r>
          </w:p>
        </w:tc>
      </w:tr>
      <w:tr>
        <w:tc>
          <w:tcPr/>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Loan4</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pPr>
            <w:hyperlink r:id="rId21">
              <w:r w:rsidDel="00000000" w:rsidR="00000000" w:rsidRPr="00000000">
                <w:rPr>
                  <w:color w:val="0000ff"/>
                  <w:u w:val="single"/>
                  <w:rtl w:val="0"/>
                </w:rPr>
                <w:t xml:space="preserve">LBS-3493</w:t>
              </w:r>
            </w:hyperlink>
            <w:r w:rsidDel="00000000" w:rsidR="00000000" w:rsidRPr="00000000">
              <w:fldChar w:fldCharType="begin"/>
              <w:instrText xml:space="preserve"> HYPERLINK "https://issues.oclcpica.org/browse/LBS-3493" </w:instrText>
              <w:fldChar w:fldCharType="separate"/>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pPr>
            <w:r w:rsidDel="00000000" w:rsidR="00000000" w:rsidRPr="00000000">
              <w:rPr>
                <w:rtl w:val="0"/>
              </w:rPr>
            </w:r>
            <w:r w:rsidDel="00000000" w:rsidR="00000000" w:rsidRPr="00000000">
              <w:fldChar w:fldCharType="end"/>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"https://issues.oclcpica.org/browse/LBS-3493" </w:instrText>
              <w:fldChar w:fldCharType="separate"/>
            </w:r>
            <w:r w:rsidDel="00000000" w:rsidR="00000000" w:rsidRPr="00000000">
              <w:fldChar w:fldCharType="end"/>
            </w:r>
            <w:r w:rsidDel="00000000" w:rsidR="00000000" w:rsidRPr="00000000">
              <w:rPr>
                <w:rtl w:val="0"/>
              </w:rPr>
              <w:t xml:space="preserve">The edit date in the OUS screen "show/edit loans/request" is not updated after renewing loan period in the opac borrower information (LOAN4)</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edit date in the OUS screen "show/edit loans/request" is not updated after renewing loan period in the opac borrower information by using the Loan4.</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With Loan3 and OUS4 the edit date in the OUS4 screen "show/edit loans/request" will be correctly updated.</w:t>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pPr>
            <w:hyperlink r:id="rId22">
              <w:r w:rsidDel="00000000" w:rsidR="00000000" w:rsidRPr="00000000">
                <w:rPr>
                  <w:color w:val="0000ff"/>
                  <w:u w:val="single"/>
                  <w:rtl w:val="0"/>
                </w:rPr>
                <w:t xml:space="preserve">LBSVIER-705</w:t>
              </w:r>
            </w:hyperlink>
            <w:r w:rsidDel="00000000" w:rsidR="00000000" w:rsidRPr="00000000">
              <w:fldChar w:fldCharType="begin"/>
              <w:instrText xml:space="preserve"> HYPERLINK "https://jira.gbv.de/browse/LBSVIER-705" </w:instrText>
              <w:fldChar w:fldCharType="separate"/>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end"/>
            </w:r>
            <w:r w:rsidDel="00000000" w:rsidR="00000000" w:rsidRPr="00000000">
              <w:rPr>
                <w:b w:val="1"/>
                <w:rtl w:val="0"/>
              </w:rPr>
              <w:t xml:space="preserve">OUS4-Loanfunction 4: Bei Verlängerungen im OPAC-Benutzerkonto wird das Änderungsdatum im OUS: Schirm "Ausleihe/Bestellung anzeigen/ändern" nicht aktualisiert</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Unter LOAN3 wurde das aktuelle Änderungsdatum (bedingt durch Verlängerungen im OPC-Nutzerkonto) auch im OUS4 im Schirm "Ausleihe/Bestellung anzeigen/ändern" hinterlegt. Mit Loan4 wird dieses Änderungsdatum nicht mehr ins OUS nachgeführt…</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pPr>
            <w:r w:rsidDel="00000000" w:rsidR="00000000" w:rsidRPr="00000000">
              <w:rPr>
                <w:b w:val="1"/>
                <w:u w:val="single"/>
                <w:rtl w:val="0"/>
              </w:rPr>
              <w:t xml:space="preserve">Priorität:</w:t>
            </w:r>
            <w:r w:rsidDel="00000000" w:rsidR="00000000" w:rsidRPr="00000000">
              <w:rPr>
                <w:b w:val="1"/>
                <w:rtl w:val="0"/>
              </w:rPr>
              <w:t xml:space="preserve">  </w:t>
            </w:r>
            <w:r w:rsidDel="00000000" w:rsidR="00000000" w:rsidRPr="00000000">
              <w:rPr>
                <w:b w:val="1"/>
                <w:color w:val="ff0000"/>
                <w:rtl w:val="0"/>
              </w:rPr>
              <w:t xml:space="preserve">High</w:t>
            </w:r>
            <w:r w:rsidDel="00000000" w:rsidR="00000000" w:rsidRPr="00000000">
              <w:rPr>
                <w:color w:val="ff0000"/>
                <w:rtl w:val="0"/>
              </w:rPr>
              <w:br w:type="textWrapping"/>
            </w:r>
            <w:r w:rsidDel="00000000" w:rsidR="00000000" w:rsidRPr="00000000">
              <w:rPr>
                <w:rtl w:val="0"/>
              </w:rPr>
              <w:t xml:space="preserve">Lösungsversion: keine</w:t>
              <w:br w:type="textWrapping"/>
              <w:t xml:space="preserve">Erstellt: 13.01.2014</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Verschlechterung zu Loan3</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c00000"/>
                <w:sz w:val="22"/>
                <w:szCs w:val="22"/>
              </w:rPr>
            </w:pPr>
            <w:r w:rsidDel="00000000" w:rsidR="00000000" w:rsidRPr="00000000">
              <w:rPr>
                <w:rFonts w:ascii="Calibri" w:cs="Calibri" w:eastAsia="Calibri" w:hAnsi="Calibri"/>
                <w:b w:val="0"/>
                <w:color w:val="c00000"/>
                <w:sz w:val="22"/>
                <w:szCs w:val="22"/>
                <w:rtl w:val="0"/>
              </w:rPr>
              <w:t xml:space="preserve">Comment  VZG:</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color w:val="c00000"/>
              </w:rPr>
            </w:pPr>
            <w:r w:rsidDel="00000000" w:rsidR="00000000" w:rsidRPr="00000000">
              <w:rPr>
                <w:color w:val="c00000"/>
                <w:rtl w:val="0"/>
              </w:rPr>
              <w:t xml:space="preserve">Newly commented in OCLC Jira. BR 14.04.2016</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spacing w:after="0" w:before="0" w:line="240" w:lineRule="auto"/>
              <w:ind w:left="720" w:firstLine="0"/>
              <w:rPr/>
            </w:pPr>
            <w:r w:rsidDel="00000000" w:rsidR="00000000" w:rsidRPr="00000000">
              <w:rPr>
                <w:rtl w:val="0"/>
              </w:rPr>
            </w:r>
          </w:p>
        </w:tc>
      </w:tr>
      <w:tr>
        <w:tc>
          <w:tcPr/>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Loan4</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spacing w:after="0" w:before="0" w:line="240" w:lineRule="auto"/>
              <w:rPr/>
            </w:pPr>
            <w:hyperlink r:id="rId23">
              <w:r w:rsidDel="00000000" w:rsidR="00000000" w:rsidRPr="00000000">
                <w:rPr>
                  <w:rFonts w:ascii="Calibri" w:cs="Calibri" w:eastAsia="Calibri" w:hAnsi="Calibri"/>
                  <w:b w:val="0"/>
                  <w:color w:val="0000ff"/>
                  <w:sz w:val="22"/>
                  <w:szCs w:val="22"/>
                  <w:u w:val="single"/>
                  <w:rtl w:val="0"/>
                </w:rPr>
                <w:t xml:space="preserve">LBS-1844</w:t>
              </w:r>
            </w:hyperlink>
            <w:r w:rsidDel="00000000" w:rsidR="00000000" w:rsidRPr="00000000">
              <w:fldChar w:fldCharType="begin"/>
              <w:instrText xml:space="preserve"> HYPERLINK "https://issues.oclcpica.org/browse/LBS-1844" </w:instrText>
              <w:fldChar w:fldCharType="separate"/>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pPr>
            <w:r w:rsidDel="00000000" w:rsidR="00000000" w:rsidRPr="00000000">
              <w:rPr>
                <w:rtl w:val="0"/>
              </w:rPr>
            </w:r>
            <w:r w:rsidDel="00000000" w:rsidR="00000000" w:rsidRPr="00000000">
              <w:fldChar w:fldCharType="end"/>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"https://issues.oclcpica.org/browse/LBS-1844" </w:instrText>
              <w:fldChar w:fldCharType="separate"/>
            </w:r>
            <w:r w:rsidDel="00000000" w:rsidR="00000000" w:rsidRPr="00000000">
              <w:fldChar w:fldCharType="end"/>
            </w:r>
            <w:r w:rsidDel="00000000" w:rsidR="00000000" w:rsidRPr="00000000">
              <w:rPr>
                <w:b w:val="1"/>
                <w:rtl w:val="0"/>
              </w:rPr>
              <w:t xml:space="preserve">End user should have the possibility to change email address in OPAC</w:t>
            </w:r>
            <w:r w:rsidDel="00000000" w:rsidR="00000000" w:rsidRPr="00000000">
              <w:rPr>
                <w:rtl w:val="0"/>
              </w:rPr>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Möglichkeit, die E-Mail-Adresse im OPAC-Benutzerkonto zu ändern.</w:t>
            </w:r>
            <w:r w:rsidDel="00000000" w:rsidR="00000000" w:rsidRPr="00000000">
              <w:rPr>
                <w:rtl w:val="0"/>
              </w:rPr>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b w:val="1"/>
              </w:rPr>
            </w:pPr>
            <w:r w:rsidDel="00000000" w:rsidR="00000000" w:rsidRPr="00000000">
              <w:rPr>
                <w:b w:val="1"/>
                <w:u w:val="single"/>
                <w:rtl w:val="0"/>
              </w:rPr>
              <w:t xml:space="preserve">Priorität:</w:t>
            </w:r>
            <w:r w:rsidDel="00000000" w:rsidR="00000000" w:rsidRPr="00000000">
              <w:rPr>
                <w:b w:val="1"/>
                <w:rtl w:val="0"/>
              </w:rPr>
              <w:t xml:space="preserve">  </w:t>
            </w:r>
            <w:r w:rsidDel="00000000" w:rsidR="00000000" w:rsidRPr="00000000">
              <w:rPr>
                <w:b w:val="1"/>
                <w:color w:val="ff0000"/>
                <w:rtl w:val="0"/>
              </w:rPr>
              <w:t xml:space="preserve">High</w:t>
              <w:br w:type="textWrapping"/>
            </w:r>
            <w:r w:rsidDel="00000000" w:rsidR="00000000" w:rsidRPr="00000000">
              <w:rPr>
                <w:color w:val="000000"/>
                <w:highlight w:val="yellow"/>
                <w:u w:val="single"/>
                <w:rtl w:val="0"/>
              </w:rPr>
              <w:t xml:space="preserve">Lösungsversion</w:t>
            </w:r>
            <w:r w:rsidDel="00000000" w:rsidR="00000000" w:rsidRPr="00000000">
              <w:rPr>
                <w:color w:val="000000"/>
                <w:highlight w:val="yellow"/>
                <w:rtl w:val="0"/>
              </w:rPr>
              <w:t xml:space="preserve">: 5.0</w:t>
            </w:r>
            <w:r w:rsidDel="00000000" w:rsidR="00000000" w:rsidRPr="00000000">
              <w:rPr>
                <w:rtl w:val="0"/>
              </w:rPr>
              <w:br w:type="textWrapping"/>
            </w:r>
            <w:r w:rsidDel="00000000" w:rsidR="00000000" w:rsidRPr="00000000">
              <w:rPr>
                <w:u w:val="single"/>
                <w:rtl w:val="0"/>
              </w:rPr>
              <w:t xml:space="preserve">Erstellt</w:t>
            </w:r>
            <w:r w:rsidDel="00000000" w:rsidR="00000000" w:rsidRPr="00000000">
              <w:rPr>
                <w:rtl w:val="0"/>
              </w:rPr>
              <w:t xml:space="preserve">: 17.07.2008</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spacing w:after="200" w:before="0" w:line="276" w:lineRule="auto"/>
              <w:ind w:left="720" w:firstLine="0"/>
              <w:rPr>
                <w:rFonts w:ascii="Calibri" w:cs="Calibri" w:eastAsia="Calibri" w:hAnsi="Calibri"/>
                <w:b w:val="1"/>
                <w:sz w:val="22"/>
                <w:szCs w:val="22"/>
              </w:rPr>
            </w:pPr>
            <w:bookmarkStart w:colFirst="0" w:colLast="0" w:name="_gjdgxs" w:id="0"/>
            <w:bookmarkEnd w:id="0"/>
            <w:r w:rsidDel="00000000" w:rsidR="00000000" w:rsidRPr="00000000">
              <w:rPr>
                <w:rtl w:val="0"/>
              </w:rPr>
            </w:r>
          </w:p>
        </w:tc>
      </w:tr>
      <w:tr>
        <w:tc>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Loan4</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spacing w:after="0" w:before="0" w:line="240" w:lineRule="auto"/>
              <w:rPr/>
            </w:pPr>
            <w:hyperlink r:id="rId24">
              <w:r w:rsidDel="00000000" w:rsidR="00000000" w:rsidRPr="00000000">
                <w:rPr>
                  <w:rFonts w:ascii="Calibri" w:cs="Calibri" w:eastAsia="Calibri" w:hAnsi="Calibri"/>
                  <w:b w:val="0"/>
                  <w:color w:val="0000ff"/>
                  <w:sz w:val="22"/>
                  <w:szCs w:val="22"/>
                  <w:u w:val="single"/>
                  <w:rtl w:val="0"/>
                </w:rPr>
                <w:t xml:space="preserve">LBS-4099</w:t>
              </w:r>
            </w:hyperlink>
            <w:r w:rsidDel="00000000" w:rsidR="00000000" w:rsidRPr="00000000">
              <w:fldChar w:fldCharType="begin"/>
              <w:instrText xml:space="preserve"> HYPERLINK "https://issues.oclcpica.org/browse/LBS-4099"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fldChar w:fldCharType="begin"/>
              <w:instrText xml:space="preserve"> HYPERLINK "https://issues.oclcpica.org/browse/LBS-4099" </w:instrText>
              <w:fldChar w:fldCharType="separate"/>
            </w:r>
            <w:r w:rsidDel="00000000" w:rsidR="00000000" w:rsidRPr="00000000">
              <w:fldChar w:fldCharType="end"/>
            </w:r>
            <w:r w:rsidDel="00000000" w:rsidR="00000000" w:rsidRPr="00000000">
              <w:rPr>
                <w:rFonts w:ascii="Calibri" w:cs="Calibri" w:eastAsia="Calibri" w:hAnsi="Calibri"/>
                <w:b w:val="1"/>
                <w:sz w:val="22"/>
                <w:szCs w:val="22"/>
                <w:rtl w:val="0"/>
              </w:rPr>
              <w:t xml:space="preserve">Interpretation from ID 48 (Coulance term for fine) in Loan4 seems to be different from Loan3</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Loan3 libraries rule via #48, how many days after expiry_date a loan may be extended (by OPC). Here, a differentiation per loan indicator can be made. This is useful to exclude, for example, textbooks from a renewal. In our libraries very different settings are practiced.</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1. Some libraries do not want any renewal after expiry_date, even if the reminder is sent a few days later. […]</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2.In other libraries the number in #48 is set to the same value as the grace period from #26. So a renewal should be allowed until the 1st reminder is sent and not after that.</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3. Still other libraries set the value in #48 to the number of days that usually goes to the production of the last reminder.</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4. There is also the variant that e.g. the 1st reminder is generated a week after expiry_date; but a renewal is allowed</w:t>
            </w:r>
            <w:r w:rsidDel="00000000" w:rsidR="00000000" w:rsidRPr="00000000">
              <w:rPr>
                <w:rFonts w:ascii="Calibri" w:cs="Calibri" w:eastAsia="Calibri" w:hAnsi="Calibri"/>
                <w:b w:val="0"/>
                <w:sz w:val="22"/>
                <w:szCs w:val="22"/>
                <w:rtl w:val="0"/>
              </w:rPr>
              <w:t xml:space="preserve"> only </w:t>
            </w:r>
            <w:r w:rsidDel="00000000" w:rsidR="00000000" w:rsidRPr="00000000">
              <w:rPr>
                <w:rFonts w:ascii="Calibri" w:cs="Calibri" w:eastAsia="Calibri" w:hAnsi="Calibri"/>
                <w:b w:val="0"/>
                <w:sz w:val="20"/>
                <w:szCs w:val="20"/>
                <w:rtl w:val="0"/>
              </w:rPr>
              <w:t xml:space="preserve">one day after the expiry_date.</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5. Some libraries (which are many institutional libraries, e.g. Max Planck Institute libraries), do not want to limit the renewal period at all.</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Only for these libraries, the current</w:t>
            </w:r>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0"/>
                <w:sz w:val="20"/>
                <w:szCs w:val="20"/>
                <w:rtl w:val="0"/>
              </w:rPr>
              <w:t xml:space="preserve">behavior of Loan4 fits.</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It is very comfortable to rule the renewal period itself without any dependencies from e.g. reminders.</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The possibilities for the use of # 48 are versatilely; therefore hardly a library wants to do without the "hidden feature".</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pPr>
            <w:hyperlink r:id="rId25">
              <w:r w:rsidDel="00000000" w:rsidR="00000000" w:rsidRPr="00000000">
                <w:rPr>
                  <w:color w:val="0000ff"/>
                  <w:u w:val="single"/>
                  <w:rtl w:val="0"/>
                </w:rPr>
                <w:t xml:space="preserve">LBSVIER-805</w:t>
              </w:r>
            </w:hyperlink>
            <w:r w:rsidDel="00000000" w:rsidR="00000000" w:rsidRPr="00000000">
              <w:fldChar w:fldCharType="begin"/>
              <w:instrText xml:space="preserve"> HYPERLINK "https://jira.gbv.de/browse/LBSVIER-805" </w:instrText>
              <w:fldChar w:fldCharType="separate"/>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end"/>
            </w:r>
            <w:r w:rsidDel="00000000" w:rsidR="00000000" w:rsidRPr="00000000">
              <w:rPr>
                <w:b w:val="1"/>
                <w:rtl w:val="0"/>
              </w:rPr>
              <w:t xml:space="preserve">OUS4 -Loanfunction4: Tabelle 48 „Kulanzfrist bei Verzugsgebühren“ wird nicht mehr wie in Loan3 ausgewertet</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Tabelle 48 „Kulanzfrist bei Verzugsgebühren“ wird nicht mehr wie in Loan3 ausgewertet</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Loan3 verhindern die entsprechenden Werte in Tabelle 48 im Zusammenhang mit Tabelle 26 die Möglichkeit der Verlängerung nach der eingetragenen Frist.</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Dies ist unabhängig von Mahn- und/oder Verzugsgebühren.</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 handelt sich um ein sogenanntes verstecktes Feature von Loan3. Es wird aber von sehr vielen Bibliotheken als eine reguläre Funktion verwendet.</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u w:val="single"/>
                <w:rtl w:val="0"/>
              </w:rPr>
              <w:t xml:space="preserve">Priorität</w:t>
            </w:r>
            <w:r w:rsidDel="00000000" w:rsidR="00000000" w:rsidRPr="00000000">
              <w:rPr>
                <w:rFonts w:ascii="Calibri" w:cs="Calibri" w:eastAsia="Calibri" w:hAnsi="Calibri"/>
                <w:b w:val="1"/>
                <w:sz w:val="22"/>
                <w:szCs w:val="22"/>
                <w:rtl w:val="0"/>
              </w:rPr>
              <w:t xml:space="preserve">: Hoch</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Lösung</w:t>
            </w:r>
            <w:r w:rsidDel="00000000" w:rsidR="00000000" w:rsidRPr="00000000">
              <w:rPr>
                <w:rFonts w:ascii="Calibri" w:cs="Calibri" w:eastAsia="Calibri" w:hAnsi="Calibri"/>
                <w:b w:val="0"/>
                <w:sz w:val="22"/>
                <w:szCs w:val="22"/>
                <w:rtl w:val="0"/>
              </w:rPr>
              <w:t xml:space="preserve">: Nicht erledigt</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Lösungsversion</w:t>
            </w:r>
            <w:r w:rsidDel="00000000" w:rsidR="00000000" w:rsidRPr="00000000">
              <w:rPr>
                <w:rFonts w:ascii="Calibri" w:cs="Calibri" w:eastAsia="Calibri" w:hAnsi="Calibri"/>
                <w:b w:val="0"/>
                <w:sz w:val="22"/>
                <w:szCs w:val="22"/>
                <w:rtl w:val="0"/>
              </w:rPr>
              <w:t xml:space="preserve">: Keine</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Status</w:t>
            </w:r>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0"/>
                <w:color w:val="c00000"/>
                <w:sz w:val="22"/>
                <w:szCs w:val="22"/>
                <w:rtl w:val="0"/>
              </w:rPr>
              <w:t xml:space="preserve">More Info required</w:t>
            </w: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c00000"/>
                <w:sz w:val="22"/>
                <w:szCs w:val="22"/>
              </w:rPr>
            </w:pPr>
            <w:r w:rsidDel="00000000" w:rsidR="00000000" w:rsidRPr="00000000">
              <w:rPr>
                <w:rFonts w:ascii="Calibri" w:cs="Calibri" w:eastAsia="Calibri" w:hAnsi="Calibri"/>
                <w:b w:val="0"/>
                <w:color w:val="c00000"/>
                <w:sz w:val="22"/>
                <w:szCs w:val="22"/>
                <w:rtl w:val="0"/>
              </w:rPr>
              <w:t xml:space="preserve">Kommentar VZG:</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c00000"/>
                <w:sz w:val="22"/>
                <w:szCs w:val="22"/>
              </w:rPr>
            </w:pPr>
            <w:r w:rsidDel="00000000" w:rsidR="00000000" w:rsidRPr="00000000">
              <w:rPr>
                <w:rFonts w:ascii="Calibri" w:cs="Calibri" w:eastAsia="Calibri" w:hAnsi="Calibri"/>
                <w:b w:val="0"/>
                <w:color w:val="c00000"/>
                <w:sz w:val="22"/>
                <w:szCs w:val="22"/>
                <w:rtl w:val="0"/>
              </w:rPr>
              <w:t xml:space="preserve">am 3.5.2016 eine detaillierte Erläuterung ergänzt.</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ff0000"/>
                <w:sz w:val="22"/>
                <w:szCs w:val="22"/>
                <w:u w:val="single"/>
              </w:rPr>
            </w:pPr>
            <w:r w:rsidDel="00000000" w:rsidR="00000000" w:rsidRPr="00000000">
              <w:rPr>
                <w:rtl w:val="0"/>
              </w:rPr>
            </w:r>
          </w:p>
          <w:p w:rsidR="00000000" w:rsidDel="00000000" w:rsidP="00000000" w:rsidRDefault="00000000" w:rsidRPr="00000000" w14:paraId="000000E9">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sz w:val="22"/>
                <w:szCs w:val="22"/>
              </w:rPr>
            </w:pPr>
            <w:r w:rsidDel="00000000" w:rsidR="00000000" w:rsidRPr="00000000">
              <w:rPr>
                <w:rFonts w:ascii="Calibri" w:cs="Calibri" w:eastAsia="Calibri" w:hAnsi="Calibri"/>
                <w:b w:val="1"/>
                <w:color w:val="c00000"/>
                <w:sz w:val="22"/>
                <w:szCs w:val="22"/>
                <w:rtl w:val="0"/>
              </w:rPr>
              <w:t xml:space="preserve">Melden</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ff0000"/>
                <w:sz w:val="22"/>
                <w:szCs w:val="22"/>
                <w:u w:val="single"/>
              </w:rPr>
            </w:pPr>
            <w:r w:rsidDel="00000000" w:rsidR="00000000" w:rsidRPr="00000000">
              <w:rPr>
                <w:rtl w:val="0"/>
              </w:rPr>
            </w:r>
          </w:p>
        </w:tc>
      </w:tr>
    </w:tbl>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26" w:type="default"/>
      <w:footerReference r:id="rId27" w:type="default"/>
      <w:pgSz w:h="11906" w:w="16838"/>
      <w:pgMar w:bottom="1417" w:top="1417"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tabs>
        <w:tab w:val="center" w:pos="4536"/>
        <w:tab w:val="right" w:pos="9072"/>
      </w:tabs>
      <w:spacing w:after="708" w:before="0" w:line="240" w:lineRule="auto"/>
      <w:jc w:val="right"/>
      <w:rPr/>
    </w:pPr>
    <w:r w:rsidDel="00000000" w:rsidR="00000000" w:rsidRPr="00000000">
      <w:rPr>
        <w:rFonts w:ascii="Calibri" w:cs="Calibri" w:eastAsia="Calibri" w:hAnsi="Calibri"/>
        <w:b w:val="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tabs>
        <w:tab w:val="center" w:pos="4536"/>
        <w:tab w:val="right" w:pos="9072"/>
      </w:tabs>
      <w:spacing w:after="708" w:before="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tabs>
        <w:tab w:val="center" w:pos="4536"/>
        <w:tab w:val="right" w:pos="9072"/>
      </w:tabs>
      <w:spacing w:after="0" w:before="708" w:line="240" w:lineRule="auto"/>
      <w:rPr>
        <w:rFonts w:ascii="Calibri" w:cs="Calibri" w:eastAsia="Calibri" w:hAnsi="Calibri"/>
        <w:b w:val="1"/>
        <w:sz w:val="40"/>
        <w:szCs w:val="40"/>
      </w:rPr>
    </w:pPr>
    <w:r w:rsidDel="00000000" w:rsidR="00000000" w:rsidRPr="00000000">
      <w:rPr>
        <w:rFonts w:ascii="Calibri" w:cs="Calibri" w:eastAsia="Calibri" w:hAnsi="Calibri"/>
        <w:b w:val="1"/>
        <w:color w:val="0070c0"/>
        <w:sz w:val="44"/>
        <w:szCs w:val="44"/>
        <w:rtl w:val="0"/>
      </w:rPr>
      <w:t xml:space="preserve">OUS</w:t>
    </w:r>
    <w:r w:rsidDel="00000000" w:rsidR="00000000" w:rsidRPr="00000000">
      <w:rPr>
        <w:rFonts w:ascii="Calibri" w:cs="Calibri" w:eastAsia="Calibri" w:hAnsi="Calibri"/>
        <w:b w:val="1"/>
        <w:sz w:val="40"/>
        <w:szCs w:val="40"/>
        <w:rtl w:val="0"/>
      </w:rPr>
      <w:t xml:space="preserve">-JIRAs nach Version 2.9 (FAG)</w:t>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b w:val="1"/>
        <w:color w:val="c00000"/>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jira.gbv.de/browse/LBSVIER-652" TargetMode="External"/><Relationship Id="rId22" Type="http://schemas.openxmlformats.org/officeDocument/2006/relationships/hyperlink" Target="https://jira.gbv.de/browse/LBSVIER-705" TargetMode="External"/><Relationship Id="rId21" Type="http://schemas.openxmlformats.org/officeDocument/2006/relationships/hyperlink" Target="https://issues.oclcpica.org/browse/LBS-3493" TargetMode="External"/><Relationship Id="rId24" Type="http://schemas.openxmlformats.org/officeDocument/2006/relationships/hyperlink" Target="https://issues.oclcpica.org/browse/LBS-4099" TargetMode="External"/><Relationship Id="rId23" Type="http://schemas.openxmlformats.org/officeDocument/2006/relationships/hyperlink" Target="https://issues.oclcpica.org/browse/LBS-184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ira.gbv.de/browse/LBSVIER-141" TargetMode="External"/><Relationship Id="rId26" Type="http://schemas.openxmlformats.org/officeDocument/2006/relationships/header" Target="header1.xml"/><Relationship Id="rId25" Type="http://schemas.openxmlformats.org/officeDocument/2006/relationships/hyperlink" Target="https://jira.gbv.de/browse/LBSVIER-805" TargetMode="Externa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issues.oclcpica.org/browse/LBS-1222" TargetMode="External"/><Relationship Id="rId7" Type="http://schemas.openxmlformats.org/officeDocument/2006/relationships/hyperlink" Target="https://jira.gbv.de/browse/LBSVIER-431" TargetMode="External"/><Relationship Id="rId8" Type="http://schemas.openxmlformats.org/officeDocument/2006/relationships/hyperlink" Target="https://issues.oclcpica.org/browse/LBS-1222" TargetMode="External"/><Relationship Id="rId11" Type="http://schemas.openxmlformats.org/officeDocument/2006/relationships/hyperlink" Target="https://jira.gbv.de/browse/LBSVIER-411" TargetMode="External"/><Relationship Id="rId10" Type="http://schemas.openxmlformats.org/officeDocument/2006/relationships/hyperlink" Target="https://issues.oclcpica.org/browse/LBS-2967" TargetMode="External"/><Relationship Id="rId13" Type="http://schemas.openxmlformats.org/officeDocument/2006/relationships/hyperlink" Target="https://issues.oclcpica.org/browse/LBS-1198" TargetMode="External"/><Relationship Id="rId12" Type="http://schemas.openxmlformats.org/officeDocument/2006/relationships/hyperlink" Target="https://issues.oclcpica.org/browse/LBS-3995" TargetMode="External"/><Relationship Id="rId15" Type="http://schemas.openxmlformats.org/officeDocument/2006/relationships/hyperlink" Target="https://info.gbv.de/plugins/servlet/confluence/editinword/36045019/attachments/ocauth/fe51fb31-b569-430a-bd32-27c35fe076e9/Wenn%20man%20%C3%BCber%20den%20Men%C3%BCpunkt" TargetMode="External"/><Relationship Id="rId14" Type="http://schemas.openxmlformats.org/officeDocument/2006/relationships/hyperlink" Target="https://jira.gbv.de/browse/LBSVIER-322" TargetMode="External"/><Relationship Id="rId17" Type="http://schemas.openxmlformats.org/officeDocument/2006/relationships/hyperlink" Target="https://issues.oclcpica.org/browse/LBS-3131" TargetMode="External"/><Relationship Id="rId16" Type="http://schemas.openxmlformats.org/officeDocument/2006/relationships/hyperlink" Target="https://jira.gbv.de/browse/LBSVIER-838" TargetMode="External"/><Relationship Id="rId19" Type="http://schemas.openxmlformats.org/officeDocument/2006/relationships/hyperlink" Target="https://issues.oclcpica.org/browse/LBS-2932" TargetMode="External"/><Relationship Id="rId18" Type="http://schemas.openxmlformats.org/officeDocument/2006/relationships/hyperlink" Target="https://jira.gbv.de/browse/LBSVIER-6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