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92"/>
      </w:pPr>
      <w:r>
        <w:t xml:space="preserve">xRechnung</w:t>
      </w:r>
      <w:r>
        <w:t xml:space="preserve"> in der </w:t>
      </w:r>
      <w:r>
        <w:t xml:space="preserve">SuUB</w:t>
      </w:r>
      <w:r>
        <w:t xml:space="preserve"> Bremen</w:t>
      </w:r>
      <w:r/>
    </w:p>
    <w:p>
      <w:r>
        <w:t xml:space="preserve">Aufgrund von verwaltungsinternen Problemen wurde die gemeinsame Einführung von </w:t>
      </w:r>
      <w:r>
        <w:t xml:space="preserve">xRechnung</w:t>
      </w:r>
      <w:r>
        <w:t xml:space="preserve"> für die Hochschulen und die </w:t>
      </w:r>
      <w:r>
        <w:t xml:space="preserve">SuUB</w:t>
      </w:r>
      <w:r>
        <w:t xml:space="preserve"> leider um ein Jahr verzögert. Die </w:t>
      </w:r>
      <w:r>
        <w:t xml:space="preserve">SuUB</w:t>
      </w:r>
      <w:r>
        <w:t xml:space="preserve"> wird jetzt den el</w:t>
      </w:r>
      <w:r>
        <w:t xml:space="preserve">e</w:t>
      </w:r>
      <w:r>
        <w:t xml:space="preserve">k</w:t>
      </w:r>
      <w:r>
        <w:t xml:space="preserve">t</w:t>
      </w:r>
      <w:r>
        <w:t xml:space="preserve">ronischen Rechnungsimport </w:t>
      </w:r>
      <w:r>
        <w:t xml:space="preserve">in Q2 </w:t>
      </w:r>
      <w:r>
        <w:t xml:space="preserve">direkt mit dem Dienstleister </w:t>
      </w:r>
      <w:r>
        <w:t xml:space="preserve">xSuite</w:t>
      </w:r>
      <w:r>
        <w:t xml:space="preserve"> </w:t>
      </w:r>
      <w:r>
        <w:t xml:space="preserve">(</w:t>
      </w:r>
      <w:hyperlink r:id="rId10" w:tooltip="https://www.xsuite.com" w:history="1">
        <w:r>
          <w:rPr>
            <w:rStyle w:val="798"/>
          </w:rPr>
          <w:t xml:space="preserve">https://www.xsuite.com</w:t>
        </w:r>
      </w:hyperlink>
      <w:r>
        <w:t xml:space="preserve">) </w:t>
      </w:r>
      <w:r>
        <w:t xml:space="preserve">umsetzen. </w:t>
      </w:r>
      <w:r/>
    </w:p>
    <w:p>
      <w:r>
        <w:t xml:space="preserve">Neuer Stand 26.01.2022: </w:t>
      </w:r>
      <w:r>
        <w:t xml:space="preserve">mit mehr als einem Jahr Verzögerung hat jetzt die Einführung der Software xSuite zur Implementierung von xRechnung direkt in SAP begonnen. Einige Arbeitsschritte können nur mit SAP-Rechten erfolgen, daher mussten Kolleginnen aus den Erwerbungsabt</w:t>
      </w:r>
      <w:r>
        <w:t xml:space="preserve">eilungen sich zusätzlich in SAP einarbeiten. xSuite ermöglicht aber, dass “normale” PICA-Erwerber die elektronischen Rechnungen in einem Web-Client sachlich richtig zeichnen können. An diesem Punkt soll auch ein Export der Rechnungsdaten erfolgen, die dann</w:t>
      </w:r>
      <w:r>
        <w:t xml:space="preserve"> in das Erwerbungssystem (jetzt: ACQ3, später Folio Rechnungen) übernommen werden. XSuite stellt die Daten als CSV-Datei bereit (ist aber noch nicht implementiert und getestet). Die Einführung soll im Februar abgeschlossen sein, danach werden wir den Versan</w:t>
      </w:r>
      <w:r>
        <w:t xml:space="preserve">d von nativen xRechnungen bei den Lieferanten nach und nach aktivieren. Für konventionelle Rechnungen steht ein Scan-Dienst bereit, xRechnungen können per E-Mail oder über das Bremer xRechnungs-Portal empfangen werden. Es steht aber auch noch die SAP-Schnit</w:t>
      </w:r>
      <w:r>
        <w:t xml:space="preserve">tstelle von ACQ3 zur Verfügung, so dass die SuUB den Umstieg schrittweise vollziehen kann.</w:t>
      </w:r>
      <w:r/>
      <w:r/>
    </w:p>
    <w:p>
      <w:pPr>
        <w:rPr>
          <w:highlight w:val="none"/>
        </w:rPr>
      </w:pPr>
      <w:r>
        <w:t xml:space="preserve">————</w:t>
      </w:r>
      <w:r/>
    </w:p>
    <w:p>
      <w:r>
        <w:rPr>
          <w:b/>
          <w:highlight w:val="none"/>
        </w:rPr>
        <w:t xml:space="preserve">Workflow Stand 2021</w:t>
      </w:r>
      <w:r>
        <w:rPr>
          <w:highlight w:val="none"/>
        </w:rPr>
      </w:r>
    </w:p>
    <w:p>
      <w:r>
        <w:t xml:space="preserve">Elektronische Rechnungen kommen auf diesen Wegen in die </w:t>
      </w:r>
      <w:r>
        <w:t xml:space="preserve">SuUB</w:t>
      </w:r>
      <w:r>
        <w:t xml:space="preserve">:</w:t>
      </w:r>
      <w:r/>
    </w:p>
    <w:p>
      <w:pPr>
        <w:pStyle w:val="796"/>
        <w:numPr>
          <w:ilvl w:val="0"/>
          <w:numId w:val="1"/>
        </w:numPr>
      </w:pPr>
      <w:r>
        <w:t xml:space="preserve">Zentrales Portal für Bremen (</w:t>
      </w:r>
      <w:r>
        <w:t xml:space="preserve">zErika</w:t>
      </w:r>
      <w:r>
        <w:t xml:space="preserve"> </w:t>
      </w:r>
      <w:hyperlink r:id="rId11" w:tooltip="https://www.e-rechnung.bremen.de/sixcms/detail.php?gsid=bremen02.c.730.de" w:history="1">
        <w:r>
          <w:rPr>
            <w:rStyle w:val="798"/>
          </w:rPr>
          <w:t xml:space="preserve">https://www.e-rechnung.bremen.de/sixcms/detail.php?gsid=bremen02.c.730.de</w:t>
        </w:r>
      </w:hyperlink>
      <w:r>
        <w:t xml:space="preserve"> </w:t>
      </w:r>
      <w:r>
        <w:t xml:space="preserve">) für native </w:t>
      </w:r>
      <w:r>
        <w:t xml:space="preserve">xRechnungen</w:t>
      </w:r>
      <w:r>
        <w:t xml:space="preserve"> und manuellen Input in ein Webformular</w:t>
      </w:r>
      <w:r/>
    </w:p>
    <w:p>
      <w:pPr>
        <w:pStyle w:val="796"/>
        <w:numPr>
          <w:ilvl w:val="0"/>
          <w:numId w:val="1"/>
        </w:numPr>
      </w:pPr>
      <w:r>
        <w:t xml:space="preserve">Zentraler </w:t>
      </w:r>
      <w:r>
        <w:t xml:space="preserve">Scandienst für gedruckte Rechnungen</w:t>
      </w:r>
      <w:r>
        <w:t xml:space="preserve"> (</w:t>
      </w:r>
      <w:r>
        <w:t xml:space="preserve">Performa</w:t>
      </w:r>
      <w:r>
        <w:t xml:space="preserve"> Nord/Senator für Finanzen)</w:t>
      </w:r>
      <w:r/>
    </w:p>
    <w:p>
      <w:pPr>
        <w:pStyle w:val="796"/>
        <w:numPr>
          <w:ilvl w:val="0"/>
          <w:numId w:val="1"/>
        </w:numPr>
      </w:pPr>
      <w:r>
        <w:t xml:space="preserve">Scan/Datenübernahme aus PDF-Rechnungen</w:t>
      </w:r>
      <w:r>
        <w:t xml:space="preserve"> (</w:t>
      </w:r>
      <w:r>
        <w:t xml:space="preserve">xSuite</w:t>
      </w:r>
      <w:r>
        <w:t xml:space="preserve">)</w:t>
      </w:r>
      <w:r/>
    </w:p>
    <w:p>
      <w:r>
        <w:t xml:space="preserve">Die Zuordnung erfolgt über </w:t>
      </w:r>
      <w:r>
        <w:rPr>
          <w:b/>
        </w:rPr>
        <w:t xml:space="preserve">Leitweg-IDs</w:t>
      </w:r>
      <w:r>
        <w:t xml:space="preserve">; jede Abteilung, die sachlich richtig zeichnen soll, hat eine eigne Leitweg-ID</w:t>
      </w:r>
      <w:r>
        <w:t xml:space="preserve"> (Z.B: Zeitschriftenstelle, E-Medien, </w:t>
      </w:r>
      <w:r>
        <w:t xml:space="preserve">Monografienerwerbung</w:t>
      </w:r>
      <w:r>
        <w:t xml:space="preserve">, Teilbibliotheken für SAP FI, oder die </w:t>
      </w:r>
      <w:r>
        <w:t xml:space="preserve">SuUB</w:t>
      </w:r>
      <w:r>
        <w:t xml:space="preserve"> Verwaltungen für Rechnungen mit SAP-Bestellbezug)</w:t>
      </w:r>
      <w:r>
        <w:t xml:space="preserve">.</w:t>
      </w:r>
      <w:r>
        <w:t xml:space="preserve"> Die revisionsfeste Sicherung der Rechnungsdaten erfolgt bei Eingang über eine</w:t>
      </w:r>
      <w:r>
        <w:t xml:space="preserve">n</w:t>
      </w:r>
      <w:r>
        <w:t xml:space="preserve"> gemeinsamen Software-Service des Landes Bremen.</w:t>
      </w:r>
      <w:r/>
    </w:p>
    <w:p>
      <w:r>
        <w:t xml:space="preserve">Als Schnittstelle zu SAP wird die Software </w:t>
      </w:r>
      <w:r>
        <w:t xml:space="preserve">xFlow</w:t>
      </w:r>
      <w:r>
        <w:t xml:space="preserve"> der Fa. </w:t>
      </w:r>
      <w:r>
        <w:t xml:space="preserve">xSuite</w:t>
      </w:r>
      <w:r>
        <w:t xml:space="preserve"> </w:t>
      </w:r>
      <w:r>
        <w:t xml:space="preserve">eingeführt; </w:t>
      </w:r>
      <w:r>
        <w:t xml:space="preserve">xFlow</w:t>
      </w:r>
      <w:r>
        <w:t xml:space="preserve"> übernimmt die XML-Rechnungsdaten aus den oben beschriebenen Quellen und stellt Sie über eine Webschnittstelle für die </w:t>
      </w:r>
      <w:r>
        <w:t xml:space="preserve">Mitarbeiter der Medienbearbeitung</w:t>
      </w:r>
      <w:r>
        <w:t xml:space="preserve"> zur Bearbeitung bereit. </w:t>
      </w:r>
      <w:r>
        <w:t xml:space="preserve">Medienrechnungen werden in </w:t>
      </w:r>
      <w:r>
        <w:t xml:space="preserve">SAP FI ohne Bestellbezug </w:t>
      </w:r>
      <w:r>
        <w:t xml:space="preserve">gebucht. </w:t>
      </w:r>
      <w:r>
        <w:t xml:space="preserve">Da SAP in einem separaten Netz läuft, müssen sich die MA per VPN</w:t>
      </w:r>
      <w:r>
        <w:t xml:space="preserve"> oder eine andere technische Lösung</w:t>
      </w:r>
      <w:r>
        <w:t xml:space="preserve"> in das SAP-Netz </w:t>
      </w:r>
      <w:r>
        <w:t xml:space="preserve">einwählen, d.h. die Gruppe der Rechnungsbearbeiter wird sich gegenüber dem aktuellen Stand verkleinern.</w:t>
      </w:r>
      <w:r/>
    </w:p>
    <w:p>
      <w:pPr>
        <w:pStyle w:val="796"/>
        <w:numPr>
          <w:ilvl w:val="0"/>
          <w:numId w:val="2"/>
        </w:numPr>
      </w:pPr>
      <w:r>
        <w:t xml:space="preserve">Im</w:t>
      </w:r>
      <w:r>
        <w:t xml:space="preserve"> Arbeitsschritt „</w:t>
      </w:r>
      <w:r>
        <w:rPr>
          <w:b/>
        </w:rPr>
        <w:t xml:space="preserve">Validierung</w:t>
      </w:r>
      <w:r>
        <w:t xml:space="preserve">“ </w:t>
      </w:r>
      <w:r>
        <w:t xml:space="preserve">werden die Rechnungsdaten bei Bedarf vervollständigt. Die Zuordnung zum MA erfolgt über die Leitweg-ID</w:t>
      </w:r>
      <w:r>
        <w:t xml:space="preserve"> (E-Medien, Monograf</w:t>
      </w:r>
      <w:r>
        <w:t xml:space="preserve">ien, Zeitschriften).</w:t>
      </w:r>
      <w:r/>
    </w:p>
    <w:p>
      <w:pPr>
        <w:pStyle w:val="796"/>
        <w:numPr>
          <w:ilvl w:val="0"/>
          <w:numId w:val="2"/>
        </w:numPr>
      </w:pPr>
      <w:r>
        <w:t xml:space="preserve">Der Arbeitsschritt „</w:t>
      </w:r>
      <w:r>
        <w:rPr>
          <w:b/>
        </w:rPr>
        <w:t xml:space="preserve">Sachlich richtig zeichnen</w:t>
      </w:r>
      <w:r>
        <w:t xml:space="preserve">“ erfolgt ebenfalls durch Mitarbeiter der Medienbearbeitung. Dabei wird die Bestellung in PICA-ACQ zugeordnet.</w:t>
      </w:r>
      <w:r>
        <w:t xml:space="preserve"> </w:t>
      </w:r>
      <w:r>
        <w:t xml:space="preserve">Da erfahrungsgemäß eine autom</w:t>
      </w:r>
      <w:bookmarkStart w:id="0" w:name="_GoBack"/>
      <w:r/>
      <w:bookmarkEnd w:id="0"/>
      <w:r>
        <w:t xml:space="preserve">atische Zuordnung der Rechnungsdaten zur Bestellung v.a. bei Fortsetzungen nicht </w:t>
      </w:r>
      <w:r>
        <w:t xml:space="preserve">verlässlich </w:t>
      </w:r>
      <w:r>
        <w:t xml:space="preserve">funktioniert, suchen die MA in einem zweiten Fenster in ACQ3 die Lieferung und setzen die Rechnung dann in </w:t>
      </w:r>
      <w:r>
        <w:t xml:space="preserve">xFlow</w:t>
      </w:r>
      <w:r>
        <w:t xml:space="preserve"> auf „sachlich richtig“. Während bei Fortsetzungen und E-Medien Rechnunge</w:t>
      </w:r>
      <w:r>
        <w:t xml:space="preserve">n</w:t>
      </w:r>
      <w:r>
        <w:t xml:space="preserve"> auch ohne Inventarisierung eingegeben </w:t>
      </w:r>
      <w:r>
        <w:t xml:space="preserve">(= sachlich richtig gezeichnet) </w:t>
      </w:r>
      <w:r>
        <w:t xml:space="preserve">werden, </w:t>
      </w:r>
      <w:r>
        <w:t xml:space="preserve">erfolgt die Rechnungsbearbeitung bei Einzelbestellungen von Monografien bislang direkt bei der Inventarisierung; hier ändert sich </w:t>
      </w:r>
      <w:r>
        <w:t xml:space="preserve">u.U. </w:t>
      </w:r>
      <w:r>
        <w:t xml:space="preserve">der Geschäftsgang.</w:t>
      </w:r>
      <w:r/>
    </w:p>
    <w:p>
      <w:pPr>
        <w:pStyle w:val="796"/>
        <w:numPr>
          <w:ilvl w:val="0"/>
          <w:numId w:val="2"/>
        </w:numPr>
      </w:pPr>
      <w:r>
        <w:t xml:space="preserve">Im Arbeitsschritt „</w:t>
      </w:r>
      <w:r>
        <w:rPr>
          <w:b/>
        </w:rPr>
        <w:t xml:space="preserve">Rechnungsdatenübernahme</w:t>
      </w:r>
      <w:r>
        <w:t xml:space="preserve">“ werden die Rechnungsdaten aus </w:t>
      </w:r>
      <w:r>
        <w:t xml:space="preserve">xFlow</w:t>
      </w:r>
      <w:r>
        <w:t xml:space="preserve"> als </w:t>
      </w:r>
      <w:r>
        <w:rPr>
          <w:b/>
        </w:rPr>
        <w:t xml:space="preserve">CSV-Datei</w:t>
      </w:r>
      <w:r>
        <w:t xml:space="preserve"> exportiert. Für ACQ3 werden die Daten direkt</w:t>
      </w:r>
      <w:r>
        <w:t xml:space="preserve"> per </w:t>
      </w:r>
      <w:r>
        <w:t xml:space="preserve">WinIBW</w:t>
      </w:r>
      <w:r>
        <w:t xml:space="preserve">-Script</w:t>
      </w:r>
      <w:r>
        <w:t xml:space="preserve"> in den ACQ</w:t>
      </w:r>
      <w:r>
        <w:t xml:space="preserve">3</w:t>
      </w:r>
      <w:r>
        <w:t xml:space="preserve">-Rechnungsschirm eingelesen (die korrekte Lieferung hat der MA ja für die Prüfung der sachlichen Richtigkeit bereits ermittelt</w:t>
      </w:r>
      <w:r>
        <w:t xml:space="preserve">)</w:t>
      </w:r>
      <w:r>
        <w:t xml:space="preserve">. </w:t>
      </w:r>
      <w:r>
        <w:t xml:space="preserve">Dadurch wird zumindest die manuelle Datenübernahme eingespart. Der Prozess in ACQ3 kann jederzeit unterbrochen oder korrigiert werden. </w:t>
      </w:r>
      <w:r>
        <w:t xml:space="preserve">Die exportierten strukturierten Daten können ggf. auch für andere Zielformate (Folio-JSON, ACQ4-XML) aufbereitet und weiterverarbeitet werden.</w:t>
      </w:r>
      <w:r>
        <w:t xml:space="preserve"> </w:t>
      </w:r>
      <w:r/>
    </w:p>
    <w:p>
      <w:pPr>
        <w:pStyle w:val="796"/>
        <w:numPr>
          <w:ilvl w:val="0"/>
          <w:numId w:val="2"/>
        </w:numPr>
      </w:pPr>
      <w:r>
        <w:t xml:space="preserve">Die bisherige SAP-Schnittstelle kann bis zu einer kompletten Umstellung auf </w:t>
      </w:r>
      <w:r>
        <w:t xml:space="preserve">xRechnung</w:t>
      </w:r>
      <w:r>
        <w:t xml:space="preserve"> </w:t>
      </w:r>
      <w:r>
        <w:t xml:space="preserve">parallel </w:t>
      </w:r>
      <w:r>
        <w:t xml:space="preserve">weiter genutzt werden</w:t>
      </w:r>
      <w:r>
        <w:t xml:space="preserve"> (die aus </w:t>
      </w:r>
      <w:r>
        <w:t xml:space="preserve">xFlow</w:t>
      </w:r>
      <w:r>
        <w:t xml:space="preserve"> eingelesenen Rechnungen werden natürlich nicht noch einmal importiert).</w:t>
      </w:r>
      <w:r/>
    </w:p>
    <w:p>
      <w:r>
        <w:rPr>
          <w:lang w:eastAsia="de-D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626854" cy="5800685"/>
                <wp:effectExtent l="0" t="0" r="3175" b="0"/>
                <wp:docPr id="1" name="Grafik 1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erech_xflow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8681415" cy="5837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679.3pt;height:456.7pt;" stroked="false">
                <v:path textboxrect="0,0,0,0"/>
                <v:imagedata r:id="rId12" o:title=""/>
              </v:shape>
            </w:pict>
          </mc:Fallback>
        </mc:AlternateContent>
      </w:r>
      <w:r/>
    </w:p>
    <w:sectPr>
      <w:footnotePr/>
      <w:endnotePr/>
      <w:type w:val="nextPage"/>
      <w:pgSz w:w="16838" w:h="11906" w:orient="landscape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 Light">
    <w:panose1 w:val="020F050202020403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de-DE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76">
    <w:name w:val="endnote text"/>
    <w:basedOn w:val="79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793"/>
    <w:uiPriority w:val="99"/>
    <w:semiHidden/>
    <w:unhideWhenUsed/>
    <w:rPr>
      <w:vertAlign w:val="superscript"/>
    </w:rPr>
  </w:style>
  <w:style w:type="paragraph" w:styleId="189">
    <w:name w:val="table of figures"/>
    <w:basedOn w:val="791"/>
    <w:next w:val="791"/>
    <w:uiPriority w:val="99"/>
    <w:unhideWhenUsed/>
    <w:pPr>
      <w:spacing w:after="0" w:afterAutospacing="0"/>
    </w:pPr>
  </w:style>
  <w:style w:type="paragraph" w:styleId="620">
    <w:name w:val="Heading 1"/>
    <w:basedOn w:val="791"/>
    <w:next w:val="791"/>
    <w:link w:val="62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21">
    <w:name w:val="Heading 1 Char"/>
    <w:basedOn w:val="793"/>
    <w:link w:val="620"/>
    <w:uiPriority w:val="9"/>
    <w:rPr>
      <w:rFonts w:ascii="Arial" w:hAnsi="Arial" w:cs="Arial" w:eastAsia="Arial"/>
      <w:sz w:val="40"/>
      <w:szCs w:val="40"/>
    </w:rPr>
  </w:style>
  <w:style w:type="character" w:styleId="622">
    <w:name w:val="Heading 2 Char"/>
    <w:basedOn w:val="793"/>
    <w:link w:val="792"/>
    <w:uiPriority w:val="9"/>
    <w:rPr>
      <w:rFonts w:ascii="Arial" w:hAnsi="Arial" w:cs="Arial" w:eastAsia="Arial"/>
      <w:sz w:val="34"/>
    </w:rPr>
  </w:style>
  <w:style w:type="paragraph" w:styleId="623">
    <w:name w:val="Heading 3"/>
    <w:basedOn w:val="791"/>
    <w:next w:val="791"/>
    <w:link w:val="62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24">
    <w:name w:val="Heading 3 Char"/>
    <w:basedOn w:val="793"/>
    <w:link w:val="623"/>
    <w:uiPriority w:val="9"/>
    <w:rPr>
      <w:rFonts w:ascii="Arial" w:hAnsi="Arial" w:cs="Arial" w:eastAsia="Arial"/>
      <w:sz w:val="30"/>
      <w:szCs w:val="30"/>
    </w:rPr>
  </w:style>
  <w:style w:type="paragraph" w:styleId="625">
    <w:name w:val="Heading 4"/>
    <w:basedOn w:val="791"/>
    <w:next w:val="791"/>
    <w:link w:val="62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26">
    <w:name w:val="Heading 4 Char"/>
    <w:basedOn w:val="793"/>
    <w:link w:val="625"/>
    <w:uiPriority w:val="9"/>
    <w:rPr>
      <w:rFonts w:ascii="Arial" w:hAnsi="Arial" w:cs="Arial" w:eastAsia="Arial"/>
      <w:b/>
      <w:bCs/>
      <w:sz w:val="26"/>
      <w:szCs w:val="26"/>
    </w:rPr>
  </w:style>
  <w:style w:type="paragraph" w:styleId="627">
    <w:name w:val="Heading 5"/>
    <w:basedOn w:val="791"/>
    <w:next w:val="791"/>
    <w:link w:val="62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28">
    <w:name w:val="Heading 5 Char"/>
    <w:basedOn w:val="793"/>
    <w:link w:val="627"/>
    <w:uiPriority w:val="9"/>
    <w:rPr>
      <w:rFonts w:ascii="Arial" w:hAnsi="Arial" w:cs="Arial" w:eastAsia="Arial"/>
      <w:b/>
      <w:bCs/>
      <w:sz w:val="24"/>
      <w:szCs w:val="24"/>
    </w:rPr>
  </w:style>
  <w:style w:type="paragraph" w:styleId="629">
    <w:name w:val="Heading 6"/>
    <w:basedOn w:val="791"/>
    <w:next w:val="791"/>
    <w:link w:val="63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30">
    <w:name w:val="Heading 6 Char"/>
    <w:basedOn w:val="793"/>
    <w:link w:val="629"/>
    <w:uiPriority w:val="9"/>
    <w:rPr>
      <w:rFonts w:ascii="Arial" w:hAnsi="Arial" w:cs="Arial" w:eastAsia="Arial"/>
      <w:b/>
      <w:bCs/>
      <w:sz w:val="22"/>
      <w:szCs w:val="22"/>
    </w:rPr>
  </w:style>
  <w:style w:type="paragraph" w:styleId="631">
    <w:name w:val="Heading 7"/>
    <w:basedOn w:val="791"/>
    <w:next w:val="791"/>
    <w:link w:val="63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32">
    <w:name w:val="Heading 7 Char"/>
    <w:basedOn w:val="793"/>
    <w:link w:val="63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33">
    <w:name w:val="Heading 8"/>
    <w:basedOn w:val="791"/>
    <w:next w:val="791"/>
    <w:link w:val="63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34">
    <w:name w:val="Heading 8 Char"/>
    <w:basedOn w:val="793"/>
    <w:link w:val="633"/>
    <w:uiPriority w:val="9"/>
    <w:rPr>
      <w:rFonts w:ascii="Arial" w:hAnsi="Arial" w:cs="Arial" w:eastAsia="Arial"/>
      <w:i/>
      <w:iCs/>
      <w:sz w:val="22"/>
      <w:szCs w:val="22"/>
    </w:rPr>
  </w:style>
  <w:style w:type="paragraph" w:styleId="635">
    <w:name w:val="Heading 9"/>
    <w:basedOn w:val="791"/>
    <w:next w:val="791"/>
    <w:link w:val="63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36">
    <w:name w:val="Heading 9 Char"/>
    <w:basedOn w:val="793"/>
    <w:link w:val="635"/>
    <w:uiPriority w:val="9"/>
    <w:rPr>
      <w:rFonts w:ascii="Arial" w:hAnsi="Arial" w:cs="Arial" w:eastAsia="Arial"/>
      <w:i/>
      <w:iCs/>
      <w:sz w:val="21"/>
      <w:szCs w:val="21"/>
    </w:rPr>
  </w:style>
  <w:style w:type="paragraph" w:styleId="637">
    <w:name w:val="No Spacing"/>
    <w:qFormat/>
    <w:uiPriority w:val="1"/>
    <w:pPr>
      <w:spacing w:lineRule="auto" w:line="240" w:after="0" w:before="0"/>
    </w:pPr>
  </w:style>
  <w:style w:type="paragraph" w:styleId="638">
    <w:name w:val="Title"/>
    <w:basedOn w:val="791"/>
    <w:next w:val="791"/>
    <w:link w:val="63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39">
    <w:name w:val="Title Char"/>
    <w:basedOn w:val="793"/>
    <w:link w:val="638"/>
    <w:uiPriority w:val="10"/>
    <w:rPr>
      <w:sz w:val="48"/>
      <w:szCs w:val="48"/>
    </w:rPr>
  </w:style>
  <w:style w:type="paragraph" w:styleId="640">
    <w:name w:val="Subtitle"/>
    <w:basedOn w:val="791"/>
    <w:next w:val="791"/>
    <w:link w:val="641"/>
    <w:qFormat/>
    <w:uiPriority w:val="11"/>
    <w:rPr>
      <w:sz w:val="24"/>
      <w:szCs w:val="24"/>
    </w:rPr>
    <w:pPr>
      <w:spacing w:after="200" w:before="200"/>
    </w:pPr>
  </w:style>
  <w:style w:type="character" w:styleId="641">
    <w:name w:val="Subtitle Char"/>
    <w:basedOn w:val="793"/>
    <w:link w:val="640"/>
    <w:uiPriority w:val="11"/>
    <w:rPr>
      <w:sz w:val="24"/>
      <w:szCs w:val="24"/>
    </w:rPr>
  </w:style>
  <w:style w:type="paragraph" w:styleId="642">
    <w:name w:val="Quote"/>
    <w:basedOn w:val="791"/>
    <w:next w:val="791"/>
    <w:link w:val="643"/>
    <w:qFormat/>
    <w:uiPriority w:val="29"/>
    <w:rPr>
      <w:i/>
    </w:rPr>
    <w:pPr>
      <w:ind w:left="720" w:right="720"/>
    </w:pPr>
  </w:style>
  <w:style w:type="character" w:styleId="643">
    <w:name w:val="Quote Char"/>
    <w:link w:val="642"/>
    <w:uiPriority w:val="29"/>
    <w:rPr>
      <w:i/>
    </w:rPr>
  </w:style>
  <w:style w:type="paragraph" w:styleId="644">
    <w:name w:val="Intense Quote"/>
    <w:basedOn w:val="791"/>
    <w:next w:val="791"/>
    <w:link w:val="64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45">
    <w:name w:val="Intense Quote Char"/>
    <w:link w:val="644"/>
    <w:uiPriority w:val="30"/>
    <w:rPr>
      <w:i/>
    </w:rPr>
  </w:style>
  <w:style w:type="paragraph" w:styleId="646">
    <w:name w:val="Header"/>
    <w:basedOn w:val="791"/>
    <w:link w:val="6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47">
    <w:name w:val="Header Char"/>
    <w:basedOn w:val="793"/>
    <w:link w:val="646"/>
    <w:uiPriority w:val="99"/>
  </w:style>
  <w:style w:type="paragraph" w:styleId="648">
    <w:name w:val="Footer"/>
    <w:basedOn w:val="791"/>
    <w:link w:val="65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49">
    <w:name w:val="Footer Char"/>
    <w:basedOn w:val="793"/>
    <w:link w:val="648"/>
    <w:uiPriority w:val="99"/>
  </w:style>
  <w:style w:type="paragraph" w:styleId="650">
    <w:name w:val="Caption"/>
    <w:basedOn w:val="791"/>
    <w:next w:val="79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51">
    <w:name w:val="Caption Char"/>
    <w:basedOn w:val="650"/>
    <w:link w:val="648"/>
    <w:uiPriority w:val="99"/>
  </w:style>
  <w:style w:type="table" w:styleId="652">
    <w:name w:val="Table Grid"/>
    <w:basedOn w:val="79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3">
    <w:name w:val="Table Grid Light"/>
    <w:basedOn w:val="79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4">
    <w:name w:val="Plain Table 1"/>
    <w:basedOn w:val="79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5">
    <w:name w:val="Plain Table 2"/>
    <w:basedOn w:val="79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6">
    <w:name w:val="Plain Table 3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7">
    <w:name w:val="Plain Table 4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8">
    <w:name w:val="Plain Table 5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59">
    <w:name w:val="Grid Table 1 Light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0">
    <w:name w:val="Grid Table 1 Light - Accent 1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1">
    <w:name w:val="Grid Table 1 Light - Accent 2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Grid Table 1 Light - Accent 3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Grid Table 1 Light - Accent 4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5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6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2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67">
    <w:name w:val="Grid Table 2 - Accent 1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68">
    <w:name w:val="Grid Table 2 - Accent 2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69">
    <w:name w:val="Grid Table 2 - Accent 3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70">
    <w:name w:val="Grid Table 2 - Accent 4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71">
    <w:name w:val="Grid Table 2 - Accent 5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72">
    <w:name w:val="Grid Table 2 - Accent 6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3">
    <w:name w:val="Grid Table 3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4">
    <w:name w:val="Grid Table 3 - Accent 1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5">
    <w:name w:val="Grid Table 3 - Accent 2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6">
    <w:name w:val="Grid Table 3 - Accent 3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7">
    <w:name w:val="Grid Table 3 - Accent 4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8">
    <w:name w:val="Grid Table 3 - Accent 5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9">
    <w:name w:val="Grid Table 3 - Accent 6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0">
    <w:name w:val="Grid Table 4"/>
    <w:basedOn w:val="79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81">
    <w:name w:val="Grid Table 4 - Accent 1"/>
    <w:basedOn w:val="79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82">
    <w:name w:val="Grid Table 4 - Accent 2"/>
    <w:basedOn w:val="79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83">
    <w:name w:val="Grid Table 4 - Accent 3"/>
    <w:basedOn w:val="79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684">
    <w:name w:val="Grid Table 4 - Accent 4"/>
    <w:basedOn w:val="79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685">
    <w:name w:val="Grid Table 4 - Accent 5"/>
    <w:basedOn w:val="79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686">
    <w:name w:val="Grid Table 4 - Accent 6"/>
    <w:basedOn w:val="79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687">
    <w:name w:val="Grid Table 5 Dark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688">
    <w:name w:val="Grid Table 5 Dark- Accent 1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689">
    <w:name w:val="Grid Table 5 Dark - Accent 2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690">
    <w:name w:val="Grid Table 5 Dark - Accent 3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691">
    <w:name w:val="Grid Table 5 Dark- Accent 4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692">
    <w:name w:val="Grid Table 5 Dark - Accent 5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693">
    <w:name w:val="Grid Table 5 Dark - Accent 6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694">
    <w:name w:val="Grid Table 6 Colorful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5">
    <w:name w:val="Grid Table 6 Colorful - Accent 1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96">
    <w:name w:val="Grid Table 6 Colorful - Accent 2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97">
    <w:name w:val="Grid Table 6 Colorful - Accent 3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698">
    <w:name w:val="Grid Table 6 Colorful - Accent 4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699">
    <w:name w:val="Grid Table 6 Colorful - Accent 5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0">
    <w:name w:val="Grid Table 6 Colorful - Accent 6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1">
    <w:name w:val="Grid Table 7 Colorful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02">
    <w:name w:val="Grid Table 7 Colorful - Accent 1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fill="FFFFFF" w:color="auto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03">
    <w:name w:val="Grid Table 7 Colorful - Accent 2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4">
    <w:name w:val="Grid Table 7 Colorful - Accent 3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fill="FFFFFF" w:color="auto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5">
    <w:name w:val="Grid Table 7 Colorful - Accent 4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06">
    <w:name w:val="Grid Table 7 Colorful - Accent 5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fill="FFFFFF" w:color="auto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07">
    <w:name w:val="Grid Table 7 Colorful - Accent 6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fill="FFFFFF" w:color="auto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08">
    <w:name w:val="List Table 1 Light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09">
    <w:name w:val="List Table 1 Light - Accent 1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10">
    <w:name w:val="List Table 1 Light - Accent 2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11">
    <w:name w:val="List Table 1 Light - Accent 3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12">
    <w:name w:val="List Table 1 Light - Accent 4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13">
    <w:name w:val="List Table 1 Light - Accent 5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4">
    <w:name w:val="List Table 1 Light - Accent 6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15">
    <w:name w:val="List Table 2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16">
    <w:name w:val="List Table 2 - Accent 1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17">
    <w:name w:val="List Table 2 - Accent 2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18">
    <w:name w:val="List Table 2 - Accent 3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19">
    <w:name w:val="List Table 2 - Accent 4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20">
    <w:name w:val="List Table 2 - Accent 5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21">
    <w:name w:val="List Table 2 - Accent 6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22">
    <w:name w:val="List Table 3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List Table 3 - Accent 1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List Table 3 - Accent 2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List Table 3 - Accent 3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3 - Accent 4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5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6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4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4 - Accent 1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4 - Accent 2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4 - Accent 3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 - Accent 4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5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6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5 Dark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7">
    <w:name w:val="List Table 5 Dark - Accent 1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8">
    <w:name w:val="List Table 5 Dark - Accent 2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9">
    <w:name w:val="List Table 5 Dark - Accent 3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0">
    <w:name w:val="List Table 5 Dark - Accent 4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5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6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6 Colorful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44">
    <w:name w:val="List Table 6 Colorful - Accent 1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45">
    <w:name w:val="List Table 6 Colorful - Accent 2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46">
    <w:name w:val="List Table 6 Colorful - Accent 3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47">
    <w:name w:val="List Table 6 Colorful - Accent 4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48">
    <w:name w:val="List Table 6 Colorful - Accent 5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49">
    <w:name w:val="List Table 6 Colorful - Accent 6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50">
    <w:name w:val="List Table 7 Colorful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1">
    <w:name w:val="List Table 7 Colorful - Accent 1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fill="FFFFFF" w:color="auto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52">
    <w:name w:val="List Table 7 Colorful - Accent 2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53">
    <w:name w:val="List Table 7 Colorful - Accent 3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auto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54">
    <w:name w:val="List Table 7 Colorful - Accent 4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55">
    <w:name w:val="List Table 7 Colorful - Accent 5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auto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56">
    <w:name w:val="List Table 7 Colorful - Accent 6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auto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57">
    <w:name w:val="Lined - Accent"/>
    <w:basedOn w:val="79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58">
    <w:name w:val="Lined - Accent 1"/>
    <w:basedOn w:val="79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59">
    <w:name w:val="Lined - Accent 2"/>
    <w:basedOn w:val="79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60">
    <w:name w:val="Lined - Accent 3"/>
    <w:basedOn w:val="79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61">
    <w:name w:val="Lined - Accent 4"/>
    <w:basedOn w:val="79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62">
    <w:name w:val="Lined - Accent 5"/>
    <w:basedOn w:val="79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63">
    <w:name w:val="Lined - Accent 6"/>
    <w:basedOn w:val="79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64">
    <w:name w:val="Bordered &amp; Lined - Accent"/>
    <w:basedOn w:val="79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65">
    <w:name w:val="Bordered &amp; Lined - Accent 1"/>
    <w:basedOn w:val="79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66">
    <w:name w:val="Bordered &amp; Lined - Accent 2"/>
    <w:basedOn w:val="79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67">
    <w:name w:val="Bordered &amp; Lined - Accent 3"/>
    <w:basedOn w:val="79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68">
    <w:name w:val="Bordered &amp; Lined - Accent 4"/>
    <w:basedOn w:val="79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69">
    <w:name w:val="Bordered &amp; Lined - Accent 5"/>
    <w:basedOn w:val="79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70">
    <w:name w:val="Bordered &amp; Lined - Accent 6"/>
    <w:basedOn w:val="79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71">
    <w:name w:val="Bordered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72">
    <w:name w:val="Bordered - Accent 1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73">
    <w:name w:val="Bordered - Accent 2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74">
    <w:name w:val="Bordered - Accent 3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75">
    <w:name w:val="Bordered - Accent 4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76">
    <w:name w:val="Bordered - Accent 5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77">
    <w:name w:val="Bordered - Accent 6"/>
    <w:basedOn w:val="79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778">
    <w:name w:val="footnote text"/>
    <w:basedOn w:val="791"/>
    <w:link w:val="779"/>
    <w:uiPriority w:val="99"/>
    <w:semiHidden/>
    <w:unhideWhenUsed/>
    <w:rPr>
      <w:sz w:val="18"/>
    </w:rPr>
    <w:pPr>
      <w:spacing w:lineRule="auto" w:line="240" w:after="40"/>
    </w:pPr>
  </w:style>
  <w:style w:type="character" w:styleId="779">
    <w:name w:val="Footnote Text Char"/>
    <w:link w:val="778"/>
    <w:uiPriority w:val="99"/>
    <w:rPr>
      <w:sz w:val="18"/>
    </w:rPr>
  </w:style>
  <w:style w:type="character" w:styleId="780">
    <w:name w:val="footnote reference"/>
    <w:basedOn w:val="793"/>
    <w:uiPriority w:val="99"/>
    <w:unhideWhenUsed/>
    <w:rPr>
      <w:vertAlign w:val="superscript"/>
    </w:rPr>
  </w:style>
  <w:style w:type="paragraph" w:styleId="781">
    <w:name w:val="toc 1"/>
    <w:basedOn w:val="791"/>
    <w:next w:val="791"/>
    <w:uiPriority w:val="39"/>
    <w:unhideWhenUsed/>
    <w:pPr>
      <w:ind w:left="0" w:right="0" w:firstLine="0"/>
      <w:spacing w:after="57"/>
    </w:pPr>
  </w:style>
  <w:style w:type="paragraph" w:styleId="782">
    <w:name w:val="toc 2"/>
    <w:basedOn w:val="791"/>
    <w:next w:val="791"/>
    <w:uiPriority w:val="39"/>
    <w:unhideWhenUsed/>
    <w:pPr>
      <w:ind w:left="283" w:right="0" w:firstLine="0"/>
      <w:spacing w:after="57"/>
    </w:pPr>
  </w:style>
  <w:style w:type="paragraph" w:styleId="783">
    <w:name w:val="toc 3"/>
    <w:basedOn w:val="791"/>
    <w:next w:val="791"/>
    <w:uiPriority w:val="39"/>
    <w:unhideWhenUsed/>
    <w:pPr>
      <w:ind w:left="567" w:right="0" w:firstLine="0"/>
      <w:spacing w:after="57"/>
    </w:pPr>
  </w:style>
  <w:style w:type="paragraph" w:styleId="784">
    <w:name w:val="toc 4"/>
    <w:basedOn w:val="791"/>
    <w:next w:val="791"/>
    <w:uiPriority w:val="39"/>
    <w:unhideWhenUsed/>
    <w:pPr>
      <w:ind w:left="850" w:right="0" w:firstLine="0"/>
      <w:spacing w:after="57"/>
    </w:pPr>
  </w:style>
  <w:style w:type="paragraph" w:styleId="785">
    <w:name w:val="toc 5"/>
    <w:basedOn w:val="791"/>
    <w:next w:val="791"/>
    <w:uiPriority w:val="39"/>
    <w:unhideWhenUsed/>
    <w:pPr>
      <w:ind w:left="1134" w:right="0" w:firstLine="0"/>
      <w:spacing w:after="57"/>
    </w:pPr>
  </w:style>
  <w:style w:type="paragraph" w:styleId="786">
    <w:name w:val="toc 6"/>
    <w:basedOn w:val="791"/>
    <w:next w:val="791"/>
    <w:uiPriority w:val="39"/>
    <w:unhideWhenUsed/>
    <w:pPr>
      <w:ind w:left="1417" w:right="0" w:firstLine="0"/>
      <w:spacing w:after="57"/>
    </w:pPr>
  </w:style>
  <w:style w:type="paragraph" w:styleId="787">
    <w:name w:val="toc 7"/>
    <w:basedOn w:val="791"/>
    <w:next w:val="791"/>
    <w:uiPriority w:val="39"/>
    <w:unhideWhenUsed/>
    <w:pPr>
      <w:ind w:left="1701" w:right="0" w:firstLine="0"/>
      <w:spacing w:after="57"/>
    </w:pPr>
  </w:style>
  <w:style w:type="paragraph" w:styleId="788">
    <w:name w:val="toc 8"/>
    <w:basedOn w:val="791"/>
    <w:next w:val="791"/>
    <w:uiPriority w:val="39"/>
    <w:unhideWhenUsed/>
    <w:pPr>
      <w:ind w:left="1984" w:right="0" w:firstLine="0"/>
      <w:spacing w:after="57"/>
    </w:pPr>
  </w:style>
  <w:style w:type="paragraph" w:styleId="789">
    <w:name w:val="toc 9"/>
    <w:basedOn w:val="791"/>
    <w:next w:val="791"/>
    <w:uiPriority w:val="39"/>
    <w:unhideWhenUsed/>
    <w:pPr>
      <w:ind w:left="2268" w:right="0" w:firstLine="0"/>
      <w:spacing w:after="57"/>
    </w:pPr>
  </w:style>
  <w:style w:type="paragraph" w:styleId="790">
    <w:name w:val="TOC Heading"/>
    <w:uiPriority w:val="39"/>
    <w:unhideWhenUsed/>
  </w:style>
  <w:style w:type="paragraph" w:styleId="791" w:default="1">
    <w:name w:val="Normal"/>
    <w:qFormat/>
  </w:style>
  <w:style w:type="paragraph" w:styleId="792">
    <w:name w:val="Heading 2"/>
    <w:basedOn w:val="791"/>
    <w:next w:val="791"/>
    <w:link w:val="797"/>
    <w:qFormat/>
    <w:uiPriority w:val="9"/>
    <w:unhideWhenUsed/>
    <w:rPr>
      <w:rFonts w:ascii="Calibri Light" w:hAnsi="Calibri Light" w:cs="Calibri Light" w:eastAsia="Calibri Light"/>
      <w:color w:val="2E74B5" w:themeColor="accent1" w:themeShade="BF"/>
      <w:sz w:val="26"/>
      <w:szCs w:val="26"/>
    </w:rPr>
    <w:pPr>
      <w:keepLines/>
      <w:keepNext/>
      <w:spacing w:after="0" w:before="40"/>
      <w:outlineLvl w:val="1"/>
    </w:pPr>
  </w:style>
  <w:style w:type="character" w:styleId="793" w:default="1">
    <w:name w:val="Default Paragraph Font"/>
    <w:uiPriority w:val="1"/>
    <w:semiHidden/>
    <w:unhideWhenUsed/>
  </w:style>
  <w:style w:type="table" w:styleId="7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5" w:default="1">
    <w:name w:val="No List"/>
    <w:uiPriority w:val="99"/>
    <w:semiHidden/>
    <w:unhideWhenUsed/>
  </w:style>
  <w:style w:type="paragraph" w:styleId="796">
    <w:name w:val="List Paragraph"/>
    <w:basedOn w:val="791"/>
    <w:qFormat/>
    <w:uiPriority w:val="34"/>
    <w:pPr>
      <w:contextualSpacing w:val="true"/>
      <w:ind w:left="720"/>
    </w:pPr>
  </w:style>
  <w:style w:type="character" w:styleId="797" w:customStyle="1">
    <w:name w:val="Überschrift 2 Zchn"/>
    <w:basedOn w:val="793"/>
    <w:link w:val="792"/>
    <w:uiPriority w:val="9"/>
    <w:rPr>
      <w:rFonts w:ascii="Calibri Light" w:hAnsi="Calibri Light" w:cs="Calibri Light" w:eastAsia="Calibri Light"/>
      <w:color w:val="2E74B5" w:themeColor="accent1" w:themeShade="BF"/>
      <w:sz w:val="26"/>
      <w:szCs w:val="26"/>
    </w:rPr>
  </w:style>
  <w:style w:type="character" w:styleId="798">
    <w:name w:val="Hyperlink"/>
    <w:basedOn w:val="793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www.xsuite.com" TargetMode="External"/><Relationship Id="rId11" Type="http://schemas.openxmlformats.org/officeDocument/2006/relationships/hyperlink" Target="https://www.e-rechnung.bremen.de/sixcms/detail.php?gsid=bremen02.c.730.de" TargetMode="External"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Company>SuUB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Ahlborn</dc:creator>
  <cp:keywords/>
  <dc:description/>
  <cp:lastModifiedBy>Noemi (Gast)</cp:lastModifiedBy>
  <cp:revision>7</cp:revision>
  <dcterms:created xsi:type="dcterms:W3CDTF">2021-01-26T11:46:00Z</dcterms:created>
  <dcterms:modified xsi:type="dcterms:W3CDTF">2022-01-26T10:42:46Z</dcterms:modified>
</cp:coreProperties>
</file>