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1"/>
        <w:tblW w:w="1450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67"/>
        <w:gridCol w:w="4178"/>
        <w:gridCol w:w="4848"/>
        <w:gridCol w:w="3510"/>
        <w:tblGridChange w:id="0">
          <w:tblGrid>
            <w:gridCol w:w="1967"/>
            <w:gridCol w:w="4178"/>
            <w:gridCol w:w="4848"/>
            <w:gridCol w:w="3510"/>
          </w:tblGrid>
        </w:tblGridChange>
      </w:tblGrid>
      <w:tr>
        <w:tc>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Modul / OCLC JIRA</w:t>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Beschreibung englisch</w:t>
            </w:r>
          </w:p>
        </w:tc>
        <w:tc>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Beschreibung deutsch</w:t>
            </w:r>
          </w:p>
        </w:tc>
        <w:tc>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Lösung, Kommentare</w:t>
            </w:r>
          </w:p>
        </w:tc>
      </w:tr>
      <w:tr>
        <w:tc>
          <w:tcPr>
            <w:gridSpan w:val="4"/>
            <w:shd w:fill="dbe5f1"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Gesperrte Budgets</w:t>
            </w:r>
            <w:r w:rsidDel="00000000" w:rsidR="00000000" w:rsidRPr="00000000">
              <w:rPr>
                <w:rtl w:val="0"/>
              </w:rPr>
            </w:r>
          </w:p>
        </w:tc>
      </w:tr>
      <w:tr>
        <w:tc>
          <w:tcPr/>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hyperlink r:id="rId6">
              <w:r w:rsidDel="00000000" w:rsidR="00000000" w:rsidRPr="00000000">
                <w:rPr>
                  <w:color w:val="0000ff"/>
                  <w:u w:val="single"/>
                  <w:rtl w:val="0"/>
                </w:rPr>
                <w:t xml:space="preserve">LBS-2838</w:t>
              </w:r>
            </w:hyperlink>
            <w:r w:rsidDel="00000000" w:rsidR="00000000" w:rsidRPr="00000000">
              <w:fldChar w:fldCharType="begin"/>
              <w:instrText xml:space="preserve"> HYPERLINK "https://issues.oclcpica.org/browse/LBS-2838" </w:instrText>
              <w:fldChar w:fldCharType="separate"/>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fldChar w:fldCharType="end"/>
            </w:r>
            <w:hyperlink r:id="rId7">
              <w:r w:rsidDel="00000000" w:rsidR="00000000" w:rsidRPr="00000000">
                <w:rPr>
                  <w:color w:val="0000ff"/>
                  <w:u w:val="single"/>
                  <w:rtl w:val="0"/>
                </w:rPr>
                <w:t xml:space="preserve">LBS-1527</w:t>
              </w:r>
            </w:hyperlink>
            <w:r w:rsidDel="00000000" w:rsidR="00000000" w:rsidRPr="00000000">
              <w:fldChar w:fldCharType="begin"/>
              <w:instrText xml:space="preserve"> HYPERLINK "https://issues.oclcpica.org/browse/LBS-1527" </w:instrText>
              <w:fldChar w:fldCharType="separate"/>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fldChar w:fldCharType="end"/>
            </w:r>
            <w:hyperlink r:id="rId8">
              <w:r w:rsidDel="00000000" w:rsidR="00000000" w:rsidRPr="00000000">
                <w:rPr>
                  <w:color w:val="0000ff"/>
                  <w:u w:val="single"/>
                  <w:rtl w:val="0"/>
                </w:rPr>
                <w:t xml:space="preserve">LBS-1526</w:t>
              </w:r>
            </w:hyperlink>
            <w:r w:rsidDel="00000000" w:rsidR="00000000" w:rsidRPr="00000000">
              <w:fldChar w:fldCharType="begin"/>
              <w:instrText xml:space="preserve"> HYPERLINK "https://issues.oclcpica.org/browse/LBS-1526" </w:instrText>
              <w:fldChar w:fldCharType="separate"/>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fldChar w:fldCharType="end"/>
            </w:r>
            <w:hyperlink r:id="rId9">
              <w:r w:rsidDel="00000000" w:rsidR="00000000" w:rsidRPr="00000000">
                <w:rPr>
                  <w:color w:val="0000ff"/>
                  <w:u w:val="single"/>
                  <w:rtl w:val="0"/>
                </w:rPr>
                <w:t xml:space="preserve">LBS-1581</w:t>
              </w:r>
            </w:hyperlink>
            <w:r w:rsidDel="00000000" w:rsidR="00000000" w:rsidRPr="00000000">
              <w:fldChar w:fldCharType="begin"/>
              <w:instrText xml:space="preserve"> HYPERLINK "https://issues.oclcpica.org/browse/LBS-1581"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"https://issues.oclcpica.org/browse/LBS-1581" </w:instrText>
              <w:fldChar w:fldCharType="separate"/>
            </w:r>
            <w:r w:rsidDel="00000000" w:rsidR="00000000" w:rsidRPr="00000000">
              <w:fldChar w:fldCharType="end"/>
            </w:r>
            <w:r w:rsidDel="00000000" w:rsidR="00000000" w:rsidRPr="00000000">
              <w:rPr>
                <w:rtl w:val="0"/>
              </w:rPr>
              <w:t xml:space="preserve">ACQ4 / APCC: process "offline import invoices" needs to take the foreign_id_nr into consideration.</w:t>
            </w:r>
          </w:p>
          <w:p w:rsidR="00000000" w:rsidDel="00000000" w:rsidP="00000000" w:rsidRDefault="00000000" w:rsidRPr="00000000" w14:paraId="00000013">
            <w:pPr>
              <w:pStyle w:val="Heading1"/>
              <w:pBdr>
                <w:top w:space="0" w:sz="0" w:val="nil"/>
                <w:left w:space="0" w:sz="0" w:val="nil"/>
                <w:bottom w:space="0" w:sz="0" w:val="nil"/>
                <w:right w:space="0" w:sz="0" w:val="nil"/>
                <w:between w:space="0" w:sz="0" w:val="nil"/>
              </w:pBdr>
              <w:shd w:fill="auto" w:val="clear"/>
              <w:rPr>
                <w:rFonts w:ascii="Calibri" w:cs="Calibri" w:eastAsia="Calibri" w:hAnsi="Calibri"/>
                <w:b w:val="0"/>
                <w:sz w:val="22"/>
                <w:szCs w:val="22"/>
              </w:rPr>
            </w:pPr>
            <w:r w:rsidDel="00000000" w:rsidR="00000000" w:rsidRPr="00000000">
              <w:rPr>
                <w:b w:val="0"/>
                <w:sz w:val="22"/>
                <w:szCs w:val="22"/>
                <w:rtl w:val="0"/>
              </w:rPr>
              <w:t xml:space="preserve">Offline invoice import: prevent multiple insert of the same invoices</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Offline invoice import: default invoice status "i" (imported)</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Workflow improvements on invoice/order-import interface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bookmarkStart w:colFirst="0" w:colLast="0" w:name="_gjdgxs" w:id="0"/>
            <w:bookmarkEnd w:id="0"/>
            <w:r w:rsidDel="00000000" w:rsidR="00000000" w:rsidRPr="00000000">
              <w:rPr>
                <w:rtl w:val="0"/>
              </w:rPr>
              <w:t xml:space="preserve">ACQ4 / APCC  - der Prozess “Rechnungsdatenimport” muss die “ foreign_id_nr“ berücksichtigen.</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Validation beim Rechnungsdatenimport muss fehlerfrei arbeiten.</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Importierte Rechnungen benötigen einen Extra-Status (suchbar)</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Verbesserungen im Workflow für importierte Bestellungen/Rechnungen</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b w:val="1"/>
                <w:color w:val="ff0000"/>
              </w:rPr>
            </w:pPr>
            <w:r w:rsidDel="00000000" w:rsidR="00000000" w:rsidRPr="00000000">
              <w:rPr>
                <w:u w:val="single"/>
                <w:rtl w:val="0"/>
              </w:rPr>
              <w:t xml:space="preserve">Priority</w:t>
            </w:r>
            <w:r w:rsidDel="00000000" w:rsidR="00000000" w:rsidRPr="00000000">
              <w:rPr>
                <w:rtl w:val="0"/>
              </w:rPr>
              <w:t xml:space="preserve">: </w:t>
            </w:r>
            <w:r w:rsidDel="00000000" w:rsidR="00000000" w:rsidRPr="00000000">
              <w:rPr>
                <w:b w:val="1"/>
                <w:color w:val="ff0000"/>
                <w:rtl w:val="0"/>
              </w:rPr>
              <w:t xml:space="preserve">High</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the order import functionality is used now network wide, libraries want to import their invoices, too. So the process “import_invoices” needs to be revised and the errors need to be solved.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listed the Jiras, we found in that context here. The functionality needs to be dealt with in whole.</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tc>
      </w:tr>
      <w:tr>
        <w:tc>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hyperlink r:id="rId10">
              <w:r w:rsidDel="00000000" w:rsidR="00000000" w:rsidRPr="00000000">
                <w:rPr>
                  <w:color w:val="0000ff"/>
                  <w:u w:val="single"/>
                  <w:rtl w:val="0"/>
                </w:rPr>
                <w:t xml:space="preserve">LBS-4717</w:t>
              </w:r>
            </w:hyperlink>
            <w:r w:rsidDel="00000000" w:rsidR="00000000" w:rsidRPr="00000000">
              <w:fldChar w:fldCharType="begin"/>
              <w:instrText xml:space="preserve"> HYPERLINK "https://issues.oclcpica.org/browse/LBS-4717"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"https://issues.oclcpica.org/browse/LBS-4717" </w:instrText>
              <w:fldChar w:fldCharType="separate"/>
            </w:r>
            <w:r w:rsidDel="00000000" w:rsidR="00000000" w:rsidRPr="00000000">
              <w:fldChar w:fldCharType="end"/>
            </w:r>
            <w:r w:rsidDel="00000000" w:rsidR="00000000" w:rsidRPr="00000000">
              <w:rPr>
                <w:rtl w:val="0"/>
              </w:rPr>
              <w:t xml:space="preserve">The ACQ4 user rights management is incorrect and not valid.</w:t>
            </w: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Das Rechtemanagement in LBS4 ist nicht valide und fehlerhaft (im Unterschied zu LBS3)</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b w:val="1"/>
                <w:color w:val="ff0000"/>
              </w:rPr>
            </w:pPr>
            <w:r w:rsidDel="00000000" w:rsidR="00000000" w:rsidRPr="00000000">
              <w:rPr>
                <w:u w:val="single"/>
                <w:rtl w:val="0"/>
              </w:rPr>
              <w:t xml:space="preserve">Priority</w:t>
            </w:r>
            <w:r w:rsidDel="00000000" w:rsidR="00000000" w:rsidRPr="00000000">
              <w:rPr>
                <w:rtl w:val="0"/>
              </w:rPr>
              <w:t xml:space="preserve">: </w:t>
            </w:r>
            <w:r w:rsidDel="00000000" w:rsidR="00000000" w:rsidRPr="00000000">
              <w:rPr>
                <w:b w:val="1"/>
                <w:color w:val="ff0000"/>
                <w:rtl w:val="0"/>
              </w:rPr>
              <w:t xml:space="preserve">High</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New in May 2016</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tc>
      </w:tr>
      <w:tr>
        <w:tc>
          <w:tcPr/>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"https://issues.oclcpica.org/browse/LBS-4553" </w:instrText>
              <w:fldChar w:fldCharType="separate"/>
            </w:r>
            <w:r w:rsidDel="00000000" w:rsidR="00000000" w:rsidRPr="00000000">
              <w:rPr>
                <w:color w:val="0000ff"/>
                <w:u w:val="single"/>
                <w:rtl w:val="0"/>
              </w:rPr>
              <w:t xml:space="preserve">LBS-4553</w:t>
            </w:r>
            <w:r w:rsidDel="00000000" w:rsidR="00000000" w:rsidRPr="00000000">
              <w:fldChar w:fldCharType="end"/>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"https://issues.oclcpica.org/browse/LBS-4553" </w:instrText>
              <w:fldChar w:fldCharType="separate"/>
            </w:r>
            <w:r w:rsidDel="00000000" w:rsidR="00000000" w:rsidRPr="00000000">
              <w:fldChar w:fldCharType="end"/>
            </w:r>
            <w:r w:rsidDel="00000000" w:rsidR="00000000" w:rsidRPr="00000000">
              <w:rPr>
                <w:b w:val="1"/>
                <w:rtl w:val="0"/>
              </w:rPr>
              <w:t xml:space="preserve">Orders in status "bestellt" using a blocked budget are not editable</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Orders in status "bestellt" using a blocked budget are not editable. So notes and/or comments e. g. from suppliers can't be placed in the order.</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keep the order editable overdrawn budgets can't be blocked to prevent further orders on these budgets.</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Solution as preferred: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budget.block=1 (blocked)</w:t>
              <w:br w:type="textWrapping"/>
              <w:t xml:space="preserve">-&gt; creating new orders not possible, </w:t>
              <w:br w:type="textWrapping"/>
              <w:t xml:space="preserve">-&gt; editing exiting orders possible </w:t>
              <w:br w:type="textWrapping"/>
              <w:t xml:space="preserve">(all kind of changes should be possible, e. g.: adding and/or creating new notices, editing delivery date and/or delivery delays, </w:t>
              <w:br w:type="textWrapping"/>
              <w:t xml:space="preserve">editing date for reminder, recording statistics without receiving, changing information in user defined fields, etc.), </w:t>
              <w:br w:type="textWrapping"/>
              <w:t xml:space="preserve">-&gt; receiving and adding invoice possible.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budget.block=3 (totally blocked) </w:t>
              <w:br w:type="textWrapping"/>
              <w:t xml:space="preserve">-&gt; creating new order not possible, </w:t>
              <w:br w:type="textWrapping"/>
              <w:t xml:space="preserve">-&gt; editing exiting orders not possible, </w:t>
              <w:br w:type="textWrapping"/>
              <w:t xml:space="preserve">-&gt; receiving and adding invoice not possible</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b w:val="1"/>
              </w:rPr>
            </w:pPr>
            <w:hyperlink r:id="rId11">
              <w:r w:rsidDel="00000000" w:rsidR="00000000" w:rsidRPr="00000000">
                <w:rPr>
                  <w:color w:val="0000ff"/>
                  <w:u w:val="single"/>
                  <w:rtl w:val="0"/>
                </w:rPr>
                <w:t xml:space="preserve">LBSVIER-835</w:t>
              </w:r>
            </w:hyperlink>
            <w:r w:rsidDel="00000000" w:rsidR="00000000" w:rsidRPr="00000000">
              <w:rPr>
                <w:rtl w:val="0"/>
              </w:rPr>
              <w:t xml:space="preserve"> </w:t>
              <w:br w:type="textWrapping"/>
            </w:r>
            <w:r w:rsidDel="00000000" w:rsidR="00000000" w:rsidRPr="00000000">
              <w:rPr>
                <w:b w:val="1"/>
                <w:rtl w:val="0"/>
              </w:rPr>
              <w:t xml:space="preserve">ACQ4: Änderungen an Bestellungen mit gesperrtem Budget können nicht abgespeichert werden</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Änderungen an Bestellungen mit gesperrtem Budget (block=1) können nicht mehr abgespeichert werden. Dies betrifft z.B. die Eingabe von Bemerkungen (Rückmeldungen der Lieferanten), aber auch die Erfassung statistischer Daten.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Inventarisieren der Bestellungen ist aber möglich. </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Unter LBS3 gab es dieses Problem nicht, unter LBS4 haben wir es erst ab Version 2.8.4.9 bemerkt. Evtl. hat es auch schon unter 2.8.4.8 bestanden, allerdings waren zu der Zeit, in der wir diese Version im Einsatz hatten, noch nicht so viele Budgets gesperrt wie nun zum Jahresende. </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jedem Fall ist es äußerst wichtig, dass Korrekturen und Ergänzungen auch bei Bestellungen auf gesperrten Budgets möglich sind. Momentan können wir deshalb die überzogenen Budgets nicht sperren und riskieren so die Eingabe weiterer, nicht mehr finanzierbarer Bestellungen.</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offen</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Lösungsversionen: keine</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w:t>
            </w:r>
            <w:r w:rsidDel="00000000" w:rsidR="00000000" w:rsidRPr="00000000">
              <w:rPr>
                <w:b w:val="1"/>
                <w:color w:val="ff0000"/>
                <w:rtl w:val="0"/>
              </w:rPr>
              <w:t xml:space="preserve">High</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more info required</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none</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tl w:val="0"/>
              </w:rPr>
            </w:r>
          </w:p>
        </w:tc>
      </w:tr>
      <w:tr>
        <w:tc>
          <w:tcPr>
            <w:gridSpan w:val="4"/>
            <w:shd w:fill="dbe5f1" w:val="clear"/>
          </w:tcPr>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u w:val="single"/>
              </w:rPr>
            </w:pPr>
            <w:r w:rsidDel="00000000" w:rsidR="00000000" w:rsidRPr="00000000">
              <w:rPr>
                <w:b w:val="1"/>
                <w:rtl w:val="0"/>
              </w:rPr>
              <w:t xml:space="preserve">Orderflag</w:t>
            </w:r>
            <w:r w:rsidDel="00000000" w:rsidR="00000000" w:rsidRPr="00000000">
              <w:rPr>
                <w:rtl w:val="0"/>
              </w:rPr>
            </w:r>
          </w:p>
        </w:tc>
      </w:tr>
      <w:tr>
        <w:tc>
          <w:tcPr/>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"https://issues.oclcpica.org/browse/LBS-295" </w:instrText>
              <w:fldChar w:fldCharType="separate"/>
            </w:r>
            <w:r w:rsidDel="00000000" w:rsidR="00000000" w:rsidRPr="00000000">
              <w:rPr>
                <w:color w:val="0000ff"/>
                <w:u w:val="single"/>
                <w:rtl w:val="0"/>
              </w:rPr>
              <w:t xml:space="preserve">LBS-295</w:t>
            </w:r>
            <w:r w:rsidDel="00000000" w:rsidR="00000000" w:rsidRPr="00000000">
              <w:fldChar w:fldCharType="end"/>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"https://issues.oclcpica.org/browse/LBS-295" </w:instrText>
              <w:fldChar w:fldCharType="separate"/>
            </w:r>
            <w:r w:rsidDel="00000000" w:rsidR="00000000" w:rsidRPr="00000000">
              <w:fldChar w:fldCharType="end"/>
            </w:r>
            <w:r w:rsidDel="00000000" w:rsidR="00000000" w:rsidRPr="00000000">
              <w:rPr>
                <w:b w:val="1"/>
                <w:rtl w:val="0"/>
              </w:rPr>
              <w:t xml:space="preserve">ACQ search with filter function does not work correct (subscription, checkin)</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ACQ search order / search subscription screen there is sometimes a problem with specific searches using the filter function "Bestellung und Abos" or "nur Abos" or "Bestellung (ohne Abos)". The search result is in some cases not clear. Sometimes no subscriptions are found, but there are some. Sometimes a  result is shown, but not the right title.</w:t>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LBSVIER-000</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ACQ Suchfilterfunktion ist fehlerhaft. Die Ergebnisse entsprechen nicht den Einträgen in der Datenbank.</w:t>
            </w:r>
          </w:p>
        </w:tc>
        <w:tc>
          <w:tcPr/>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Medium</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Open</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None</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u w:val="single"/>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u w:val="single"/>
                <w:rtl w:val="0"/>
              </w:rPr>
              <w:t xml:space="preserve">Lösungsversion</w:t>
            </w:r>
            <w:r w:rsidDel="00000000" w:rsidR="00000000" w:rsidRPr="00000000">
              <w:rPr>
                <w:rFonts w:ascii="Calibri" w:cs="Calibri" w:eastAsia="Calibri" w:hAnsi="Calibri"/>
                <w:b w:val="0"/>
                <w:sz w:val="22"/>
                <w:szCs w:val="22"/>
                <w:rtl w:val="0"/>
              </w:rPr>
              <w:t xml:space="preserve">:</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b w:val="0"/>
                <w:sz w:val="22"/>
                <w:szCs w:val="22"/>
                <w:rtl w:val="0"/>
              </w:rPr>
              <w:t xml:space="preserve">keine</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u w:val="single"/>
                <w:rtl w:val="0"/>
              </w:rPr>
              <w:t xml:space="preserve">Erstellt</w:t>
            </w:r>
            <w:r w:rsidDel="00000000" w:rsidR="00000000" w:rsidRPr="00000000">
              <w:rPr>
                <w:rFonts w:ascii="Calibri" w:cs="Calibri" w:eastAsia="Calibri" w:hAnsi="Calibri"/>
                <w:b w:val="0"/>
                <w:sz w:val="22"/>
                <w:szCs w:val="22"/>
                <w:rtl w:val="0"/>
              </w:rPr>
              <w:t xml:space="preserve">: 22.02.2007</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Libraries are asking for a solution</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OCLC 12.12.14: no feedback</w:t>
            </w:r>
          </w:p>
          <w:p w:rsidR="00000000" w:rsidDel="00000000" w:rsidP="00000000" w:rsidRDefault="00000000" w:rsidRPr="00000000" w14:paraId="0000005F">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rPr>
                <w:b w:val="1"/>
                <w:sz w:val="22"/>
                <w:szCs w:val="22"/>
              </w:rPr>
            </w:pPr>
            <w:r w:rsidDel="00000000" w:rsidR="00000000" w:rsidRPr="00000000">
              <w:rPr>
                <w:rFonts w:ascii="Calibri" w:cs="Calibri" w:eastAsia="Calibri" w:hAnsi="Calibri"/>
                <w:b w:val="0"/>
                <w:sz w:val="22"/>
                <w:szCs w:val="22"/>
                <w:u w:val="single"/>
                <w:rtl w:val="0"/>
              </w:rPr>
              <w:t xml:space="preserve">Priority</w:t>
            </w:r>
            <w:r w:rsidDel="00000000" w:rsidR="00000000" w:rsidRPr="00000000">
              <w:rPr>
                <w:rFonts w:ascii="Calibri" w:cs="Calibri" w:eastAsia="Calibri" w:hAnsi="Calibri"/>
                <w:b w:val="0"/>
                <w:sz w:val="22"/>
                <w:szCs w:val="22"/>
                <w:rtl w:val="0"/>
              </w:rPr>
              <w:t xml:space="preserve">: </w:t>
            </w:r>
            <w:r w:rsidDel="00000000" w:rsidR="00000000" w:rsidRPr="00000000">
              <w:rPr>
                <w:rFonts w:ascii="Calibri" w:cs="Calibri" w:eastAsia="Calibri" w:hAnsi="Calibri"/>
                <w:b w:val="1"/>
                <w:color w:val="c00000"/>
                <w:sz w:val="22"/>
                <w:szCs w:val="22"/>
                <w:rtl w:val="0"/>
              </w:rPr>
              <w:t xml:space="preserve">High </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after="0" w:before="0" w:line="276"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color w:val="c00000"/>
                <w:sz w:val="22"/>
                <w:szCs w:val="22"/>
                <w:rtl w:val="0"/>
              </w:rPr>
              <w:t xml:space="preserve"> </w:t>
            </w:r>
            <w:r w:rsidDel="00000000" w:rsidR="00000000" w:rsidRPr="00000000">
              <w:rPr>
                <w:rtl w:val="0"/>
              </w:rPr>
            </w:r>
          </w:p>
        </w:tc>
      </w:tr>
      <w:tr>
        <w:tc>
          <w:tcPr/>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"https://issues.oclcpica.org/browse/LBS-1062" </w:instrText>
              <w:fldChar w:fldCharType="separate"/>
            </w:r>
            <w:r w:rsidDel="00000000" w:rsidR="00000000" w:rsidRPr="00000000">
              <w:rPr>
                <w:color w:val="0000ff"/>
                <w:u w:val="single"/>
                <w:rtl w:val="0"/>
              </w:rPr>
              <w:t xml:space="preserve">LBS-1062</w:t>
            </w:r>
            <w:r w:rsidDel="00000000" w:rsidR="00000000" w:rsidRPr="00000000">
              <w:fldChar w:fldCharType="end"/>
            </w:r>
          </w:p>
        </w:tc>
        <w:tc>
          <w:tcPr/>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"https://issues.oclcpica.org/browse/LBS-1062" </w:instrText>
              <w:fldChar w:fldCharType="separate"/>
            </w:r>
            <w:r w:rsidDel="00000000" w:rsidR="00000000" w:rsidRPr="00000000">
              <w:fldChar w:fldCharType="end"/>
            </w:r>
            <w:r w:rsidDel="00000000" w:rsidR="00000000" w:rsidRPr="00000000">
              <w:rPr>
                <w:b w:val="1"/>
                <w:rtl w:val="0"/>
              </w:rPr>
              <w:t xml:space="preserve">ACQ - order flag ( start_lsf_orderflag_tl ) is not always set correctly</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ACQ - order flag (start_lsf_orderflag_tl)y is not always set correctly</w:t>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b w:val="1"/>
              </w:rPr>
            </w:pPr>
            <w:hyperlink r:id="rId12">
              <w:r w:rsidDel="00000000" w:rsidR="00000000" w:rsidRPr="00000000">
                <w:rPr>
                  <w:color w:val="0000ff"/>
                  <w:u w:val="single"/>
                  <w:rtl w:val="0"/>
                </w:rPr>
                <w:t xml:space="preserve">LBSVIER-149</w:t>
              </w:r>
            </w:hyperlink>
            <w:r w:rsidDel="00000000" w:rsidR="00000000" w:rsidRPr="00000000">
              <w:rPr>
                <w:rtl w:val="0"/>
              </w:rPr>
              <w:t xml:space="preserve"> </w:t>
              <w:br w:type="textWrapping"/>
            </w:r>
            <w:r w:rsidDel="00000000" w:rsidR="00000000" w:rsidRPr="00000000">
              <w:rPr>
                <w:b w:val="1"/>
                <w:rtl w:val="0"/>
              </w:rPr>
              <w:t xml:space="preserve">ACQ - Bestellflag ( start_lsf_orderflag_tl ) wird nicht immer korrekt erstellt / angepasst</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Order_flag wird beim Neuanlegen einer Bestellung und beim Löschen einer Bestellung korrekt behandelt. Beim Transfer einer Bestellung von einer EPN an eine andere EPN wird der Order_flag an der Ausgangs-PPN nicht gelöscht und wird an der Ziel-PPN nicht gesetzt. </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wichtig, vor allem für die Suche im Heft-CheckIn-Schirm: hier wird die korrekte Funktion zwingend benötigt, da die Filtereinstellung im Hintergrund auf „Abonnements“ eingestellt ist.</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Medium</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Open</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 Backlog</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u w:val="single"/>
                <w:rtl w:val="0"/>
              </w:rPr>
              <w:t xml:space="preserve">Resolution</w:t>
            </w:r>
            <w:r w:rsidDel="00000000" w:rsidR="00000000" w:rsidRPr="00000000">
              <w:rPr>
                <w:rFonts w:ascii="Calibri" w:cs="Calibri" w:eastAsia="Calibri" w:hAnsi="Calibri"/>
                <w:b w:val="0"/>
                <w:sz w:val="22"/>
                <w:szCs w:val="22"/>
                <w:rtl w:val="0"/>
              </w:rPr>
              <w:t xml:space="preserve">: Completed</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OCLC 12.12.14: siehe LBS- 1081: „row level lock should solve this“ – ist zu Testen!</w:t>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b w:val="1"/>
                <w:sz w:val="22"/>
                <w:szCs w:val="22"/>
              </w:rPr>
            </w:pPr>
            <w:r w:rsidDel="00000000" w:rsidR="00000000" w:rsidRPr="00000000">
              <w:rPr>
                <w:rFonts w:ascii="Calibri" w:cs="Calibri" w:eastAsia="Calibri" w:hAnsi="Calibri"/>
                <w:b w:val="1"/>
                <w:color w:val="c00000"/>
                <w:sz w:val="22"/>
                <w:szCs w:val="22"/>
                <w:rtl w:val="0"/>
              </w:rPr>
              <w:t xml:space="preserve">Prio. High – see LBS-295 </w:t>
            </w:r>
          </w:p>
        </w:tc>
      </w:tr>
      <w:tr>
        <w:tc>
          <w:tcPr>
            <w:gridSpan w:val="4"/>
            <w:shd w:fill="dbe5f1" w:val="clear"/>
          </w:tcPr>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sz w:val="22"/>
                <w:szCs w:val="22"/>
                <w:u w:val="single"/>
              </w:rPr>
            </w:pPr>
            <w:r w:rsidDel="00000000" w:rsidR="00000000" w:rsidRPr="00000000">
              <w:rPr>
                <w:rFonts w:ascii="Calibri" w:cs="Calibri" w:eastAsia="Calibri" w:hAnsi="Calibri"/>
                <w:b w:val="1"/>
                <w:sz w:val="22"/>
                <w:szCs w:val="22"/>
                <w:rtl w:val="0"/>
              </w:rPr>
              <w:t xml:space="preserve">Nummerngenerator</w:t>
            </w:r>
            <w:r w:rsidDel="00000000" w:rsidR="00000000" w:rsidRPr="00000000">
              <w:rPr>
                <w:rtl w:val="0"/>
              </w:rPr>
            </w:r>
          </w:p>
        </w:tc>
      </w:tr>
      <w:tr>
        <w:tc>
          <w:tcPr/>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spacing w:after="0" w:before="0" w:line="240" w:lineRule="auto"/>
              <w:rPr/>
            </w:pPr>
            <w:hyperlink r:id="rId13">
              <w:r w:rsidDel="00000000" w:rsidR="00000000" w:rsidRPr="00000000">
                <w:rPr>
                  <w:rFonts w:ascii="Calibri" w:cs="Calibri" w:eastAsia="Calibri" w:hAnsi="Calibri"/>
                  <w:b w:val="0"/>
                  <w:color w:val="0000ff"/>
                  <w:sz w:val="22"/>
                  <w:szCs w:val="22"/>
                  <w:u w:val="single"/>
                  <w:rtl w:val="0"/>
                </w:rPr>
                <w:t xml:space="preserve">LBS-498</w:t>
              </w:r>
            </w:hyperlink>
            <w:r w:rsidDel="00000000" w:rsidR="00000000" w:rsidRPr="00000000">
              <w:rPr>
                <w:rFonts w:ascii="Calibri" w:cs="Calibri" w:eastAsia="Calibri" w:hAnsi="Calibri"/>
                <w:b w:val="0"/>
                <w:sz w:val="22"/>
                <w:szCs w:val="22"/>
                <w:rtl w:val="0"/>
              </w:rPr>
              <w:t xml:space="preserve"> </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"https://issues.oclcpica.org/browse/LBS-1259" </w:instrText>
              <w:fldChar w:fldCharType="separate"/>
            </w:r>
            <w:r w:rsidDel="00000000" w:rsidR="00000000" w:rsidRPr="00000000">
              <w:rPr>
                <w:color w:val="0000ff"/>
                <w:u w:val="single"/>
                <w:rtl w:val="0"/>
              </w:rPr>
              <w:t xml:space="preserve">LBS-1259</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pPr>
            <w:r w:rsidDel="00000000" w:rsidR="00000000" w:rsidRPr="00000000">
              <w:fldChar w:fldCharType="end"/>
            </w:r>
            <w:r w:rsidDel="00000000" w:rsidR="00000000" w:rsidRPr="00000000">
              <w:fldChar w:fldCharType="begin"/>
              <w:instrText xml:space="preserve"> HYPERLINK "https://issues.oclcpica.org/browse/LBS-1259"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"https://issues.oclcpica.org/browse/LBS-1259" </w:instrText>
              <w:fldChar w:fldCharType="separate"/>
            </w:r>
            <w:r w:rsidDel="00000000" w:rsidR="00000000" w:rsidRPr="00000000">
              <w:fldChar w:fldCharType="end"/>
            </w:r>
            <w:r w:rsidDel="00000000" w:rsidR="00000000" w:rsidRPr="00000000">
              <w:rPr>
                <w:b w:val="1"/>
                <w:rtl w:val="0"/>
              </w:rPr>
              <w:t xml:space="preserve">LBS4 - functionality of LBS number generator is not satisfactory/sufficient</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pPr>
            <w:hyperlink r:id="rId14">
              <w:r w:rsidDel="00000000" w:rsidR="00000000" w:rsidRPr="00000000">
                <w:rPr>
                  <w:color w:val="0000ff"/>
                  <w:u w:val="single"/>
                  <w:rtl w:val="0"/>
                </w:rPr>
                <w:t xml:space="preserve">LBSVIER-448</w:t>
              </w:r>
            </w:hyperlink>
            <w:r w:rsidDel="00000000" w:rsidR="00000000" w:rsidRPr="00000000">
              <w:rPr>
                <w:rtl w:val="0"/>
              </w:rPr>
              <w:t xml:space="preserve"> </w:t>
              <w:br w:type="textWrapping"/>
            </w:r>
            <w:r w:rsidDel="00000000" w:rsidR="00000000" w:rsidRPr="00000000">
              <w:rPr>
                <w:b w:val="1"/>
                <w:rtl w:val="0"/>
              </w:rPr>
              <w:t xml:space="preserve">LBS4: Die Bedienung des Nummerngenerators sollte einfacher und ergonomischer gestaltet werden</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rtl w:val="0"/>
              </w:rPr>
              <w:t xml:space="preserve">Der Nummerngenerator arbeitet funktional unangemessen. Die Dialogführung zur Generierung von Nummern erfordert zu viele Bedienaktionen. Voreinstellungen und Vorauswahl sind nicht möglich aber notwendig.</w:t>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SMM: Nummerngenerator sollte in den LBS4-Client verlagert und mit Berechtigungen versehen werden</w:t>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u w:val="single"/>
                <w:rtl w:val="0"/>
              </w:rPr>
              <w:t xml:space="preserve">Lösungsversion: </w:t>
            </w:r>
            <w:r w:rsidDel="00000000" w:rsidR="00000000" w:rsidRPr="00000000">
              <w:rPr>
                <w:rFonts w:ascii="Calibri" w:cs="Calibri" w:eastAsia="Calibri" w:hAnsi="Calibri"/>
                <w:b w:val="0"/>
                <w:sz w:val="22"/>
                <w:szCs w:val="22"/>
                <w:rtl w:val="0"/>
              </w:rPr>
              <w:t xml:space="preserve">Backlog</w:t>
            </w: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u w:val="single"/>
                <w:rtl w:val="0"/>
              </w:rPr>
              <w:t xml:space="preserve">Erstellt:</w:t>
            </w:r>
            <w:r w:rsidDel="00000000" w:rsidR="00000000" w:rsidRPr="00000000">
              <w:rPr>
                <w:rFonts w:ascii="Calibri" w:cs="Calibri" w:eastAsia="Calibri" w:hAnsi="Calibri"/>
                <w:b w:val="0"/>
                <w:sz w:val="22"/>
                <w:szCs w:val="22"/>
                <w:rtl w:val="0"/>
              </w:rPr>
              <w:t xml:space="preserve"> 21.05.2008</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rtl w:val="0"/>
              </w:rPr>
              <w:t xml:space="preserve">Dortmund, Annette  03/Apr/12: Lösungsideen vorgeschlagen. Leider noch nichts umgesetzt. </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rtl w:val="0"/>
              </w:rPr>
              <w:t xml:space="preserve">OCLC 12.12.14: beide Jiras „more Info required“ von 2012 – nach 5.0</w:t>
            </w:r>
            <w:r w:rsidDel="00000000" w:rsidR="00000000" w:rsidRPr="00000000">
              <w:rPr>
                <w:rtl w:val="0"/>
              </w:rPr>
            </w:r>
          </w:p>
          <w:p w:rsidR="00000000" w:rsidDel="00000000" w:rsidP="00000000" w:rsidRDefault="00000000" w:rsidRPr="00000000" w14:paraId="00000083">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rPr>
                <w:b w:val="1"/>
                <w:sz w:val="22"/>
                <w:szCs w:val="22"/>
              </w:rPr>
            </w:pPr>
            <w:r w:rsidDel="00000000" w:rsidR="00000000" w:rsidRPr="00000000">
              <w:rPr>
                <w:rFonts w:ascii="Calibri" w:cs="Calibri" w:eastAsia="Calibri" w:hAnsi="Calibri"/>
                <w:b w:val="1"/>
                <w:color w:val="c00000"/>
                <w:sz w:val="22"/>
                <w:szCs w:val="22"/>
                <w:rtl w:val="0"/>
              </w:rPr>
              <w:t xml:space="preserve">Prio. Medium</w:t>
            </w:r>
          </w:p>
        </w:tc>
      </w:tr>
      <w:tr>
        <w:tc>
          <w:tcPr>
            <w:gridSpan w:val="4"/>
            <w:shd w:fill="dbe5f1" w:val="clear"/>
          </w:tcPr>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Shortcut Inventarisierung</w:t>
            </w:r>
            <w:r w:rsidDel="00000000" w:rsidR="00000000" w:rsidRPr="00000000">
              <w:rPr>
                <w:rtl w:val="0"/>
              </w:rPr>
            </w:r>
          </w:p>
        </w:tc>
      </w:tr>
      <w:tr>
        <w:tc>
          <w:tcPr/>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"https://issues.oclcpica.org/browse/LBS-703" </w:instrText>
              <w:fldChar w:fldCharType="separate"/>
            </w:r>
            <w:r w:rsidDel="00000000" w:rsidR="00000000" w:rsidRPr="00000000">
              <w:rPr>
                <w:color w:val="0000ff"/>
                <w:u w:val="single"/>
                <w:rtl w:val="0"/>
              </w:rPr>
              <w:t xml:space="preserve">LBS-703</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pPr>
            <w:r w:rsidDel="00000000" w:rsidR="00000000" w:rsidRPr="00000000">
              <w:fldChar w:fldCharType="end"/>
            </w:r>
            <w:r w:rsidDel="00000000" w:rsidR="00000000" w:rsidRPr="00000000">
              <w:fldChar w:fldCharType="begin"/>
              <w:instrText xml:space="preserve"> HYPERLINK "https://issues.oclcpica.org/browse/LBS-703"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"https://issues.oclcpica.org/browse/LBS-703" </w:instrText>
              <w:fldChar w:fldCharType="separate"/>
            </w:r>
            <w:r w:rsidDel="00000000" w:rsidR="00000000" w:rsidRPr="00000000">
              <w:fldChar w:fldCharType="end"/>
            </w:r>
            <w:r w:rsidDel="00000000" w:rsidR="00000000" w:rsidRPr="00000000">
              <w:rPr>
                <w:b w:val="1"/>
                <w:rtl w:val="0"/>
              </w:rPr>
              <w:t xml:space="preserve">ACQ: accession number is not saved using short cut ctrl-shift-U</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Saving of the accession number (in Tab "Statistik, label "Zugangsnummern") doesn't work if the user saves with the short cut "Ctrl-Shift-U" .</w:t>
              <w:br w:type="textWrapping"/>
              <w:t xml:space="preserve">The entries in all fields are saved, except the accession numbers.</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he clicks on the Button "inventarisieren" instead, the saving works fine.</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See attachment.</w:t>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In GBV we use the German menu. The short cut for "Inventarisieren" is "CTRL-SHIFT-U"!!!</w:t>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pPr>
            <w:hyperlink r:id="rId15">
              <w:r w:rsidDel="00000000" w:rsidR="00000000" w:rsidRPr="00000000">
                <w:rPr>
                  <w:color w:val="0000ff"/>
                  <w:u w:val="single"/>
                  <w:rtl w:val="0"/>
                </w:rPr>
                <w:t xml:space="preserve">LBSVIER-703</w:t>
              </w:r>
            </w:hyperlink>
            <w:r w:rsidDel="00000000" w:rsidR="00000000" w:rsidRPr="00000000">
              <w:rPr>
                <w:rtl w:val="0"/>
              </w:rPr>
              <w:t xml:space="preserve"> </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ACQ4 - Inventarisieren via Shortcut "Shift-STRG-U" führt zum Löschen der Zugangsnummern</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Nutzt der Anwender beim Inventarisieren den Shortcut "Shift+Strg+U" anstelle der Maus, so werden beim Abschluss des Vorgangs (= Speichern der Statistikdaten, Wechsel zur Rechnung) die im Statistikschirm eingegebenen Zugangsnummern nicht gespeichert und werden auf diesem Schirm gelöscht. Dies kann der Mitarbeiter in diesem Moment gar nicht bemerken, da das System automatisch z. B. auf den Rechnungsschirm zur Eingabe der Rechnung wechselt. Die Zugangsnummer ist dann im ACQ auch nicht suchbar, da sie nicht gespeichert wurde.</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Lösungsversionen: Keine</w:t>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Medium</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Open</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None</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u w:val="single"/>
                <w:rtl w:val="0"/>
              </w:rPr>
              <w:t xml:space="preserve">Erstellt:</w:t>
            </w:r>
            <w:r w:rsidDel="00000000" w:rsidR="00000000" w:rsidRPr="00000000">
              <w:rPr>
                <w:rFonts w:ascii="Calibri" w:cs="Calibri" w:eastAsia="Calibri" w:hAnsi="Calibri"/>
                <w:b w:val="0"/>
                <w:sz w:val="22"/>
                <w:szCs w:val="22"/>
                <w:rtl w:val="0"/>
              </w:rPr>
              <w:t xml:space="preserve"> 18.08.2008</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rtl w:val="0"/>
              </w:rPr>
              <w:t xml:space="preserve">Mit der Maus funktioniert der Vorgang. Die Korrektur der Short-Cut-Funktion ist hoffentlich nur eine Kleinigkeit. Wäre für die Bibliotheken aber sehr wichtig.  </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OCLC 12.12.14: keine Info, 5.X</w:t>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rPr>
                <w:b w:val="1"/>
                <w:sz w:val="22"/>
                <w:szCs w:val="22"/>
              </w:rPr>
            </w:pPr>
            <w:r w:rsidDel="00000000" w:rsidR="00000000" w:rsidRPr="00000000">
              <w:rPr>
                <w:rFonts w:ascii="Calibri" w:cs="Calibri" w:eastAsia="Calibri" w:hAnsi="Calibri"/>
                <w:b w:val="1"/>
                <w:color w:val="c00000"/>
                <w:sz w:val="22"/>
                <w:szCs w:val="22"/>
                <w:rtl w:val="0"/>
              </w:rPr>
              <w:t xml:space="preserve">high – easy to solve</w:t>
            </w:r>
            <w:r w:rsidDel="00000000" w:rsidR="00000000" w:rsidRPr="00000000">
              <w:rPr>
                <w:rtl w:val="0"/>
              </w:rPr>
            </w:r>
          </w:p>
        </w:tc>
      </w:tr>
      <w:tr>
        <w:tc>
          <w:tcPr>
            <w:gridSpan w:val="4"/>
            <w:shd w:fill="dbe5f1" w:val="clear"/>
          </w:tcPr>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Löschbefugnisse</w:t>
            </w:r>
            <w:r w:rsidDel="00000000" w:rsidR="00000000" w:rsidRPr="00000000">
              <w:rPr>
                <w:rtl w:val="0"/>
              </w:rPr>
            </w:r>
          </w:p>
        </w:tc>
      </w:tr>
      <w:tr>
        <w:tc>
          <w:tcPr/>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"https://issues.oclcpica.org/browse/LBS-4517" </w:instrText>
              <w:fldChar w:fldCharType="separate"/>
            </w:r>
            <w:r w:rsidDel="00000000" w:rsidR="00000000" w:rsidRPr="00000000">
              <w:rPr>
                <w:color w:val="0000ff"/>
                <w:u w:val="single"/>
                <w:rtl w:val="0"/>
              </w:rPr>
              <w:t xml:space="preserve">LBS-4517</w:t>
            </w:r>
            <w:r w:rsidDel="00000000" w:rsidR="00000000" w:rsidRPr="00000000">
              <w:fldChar w:fldCharType="end"/>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pPr>
            <w:r w:rsidDel="00000000" w:rsidR="00000000" w:rsidRPr="00000000">
              <w:fldChar w:fldCharType="begin"/>
              <w:instrText xml:space="preserve"> HYPERLINK "https://issues.oclcpica.org/browse/LBS-4517" </w:instrText>
              <w:fldChar w:fldCharType="separate"/>
            </w:r>
            <w:r w:rsidDel="00000000" w:rsidR="00000000" w:rsidRPr="00000000">
              <w:fldChar w:fldCharType="end"/>
            </w:r>
            <w:r w:rsidDel="00000000" w:rsidR="00000000" w:rsidRPr="00000000">
              <w:rPr>
                <w:b w:val="1"/>
                <w:rtl w:val="0"/>
              </w:rPr>
              <w:t xml:space="preserve">SMM/ACQ: New Permission Options: "Delete Invoice" and "Create and Update Invoices Without Deleting</w:t>
            </w:r>
            <w:r w:rsidDel="00000000" w:rsidR="00000000" w:rsidRPr="00000000">
              <w:rPr>
                <w:rtl w:val="0"/>
              </w:rPr>
              <w:t xml:space="preserve">"</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SMM the permission to delete invoices is included in the right to "create and update invoices".</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 Göttingen asks for seperating this option into "create and update invoices (without deleting) " and as new permission "delete invoices".</w:t>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 Göttingen needs to restrict the permission to delete invoices. Only a few users should be able to do this as it affects sensitive data.</w:t>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rPr>
                <w:b w:val="1"/>
              </w:rPr>
            </w:pPr>
            <w:hyperlink r:id="rId16">
              <w:r w:rsidDel="00000000" w:rsidR="00000000" w:rsidRPr="00000000">
                <w:rPr>
                  <w:color w:val="0000ff"/>
                  <w:u w:val="single"/>
                  <w:rtl w:val="0"/>
                </w:rPr>
                <w:t xml:space="preserve">LBSVIER-827</w:t>
              </w:r>
            </w:hyperlink>
            <w:r w:rsidDel="00000000" w:rsidR="00000000" w:rsidRPr="00000000">
              <w:rPr>
                <w:rtl w:val="0"/>
              </w:rPr>
              <w:t xml:space="preserve">: </w:t>
              <w:br w:type="textWrapping"/>
            </w:r>
            <w:r w:rsidDel="00000000" w:rsidR="00000000" w:rsidRPr="00000000">
              <w:rPr>
                <w:b w:val="1"/>
                <w:rtl w:val="0"/>
              </w:rPr>
              <w:t xml:space="preserve">ACQ4 - Rechnungen können von allen Anwendern mit Schreibrechten gelöscht werden</w:t>
            </w:r>
          </w:p>
          <w:p w:rsidR="00000000" w:rsidDel="00000000" w:rsidP="00000000" w:rsidRDefault="00000000" w:rsidRPr="00000000" w14:paraId="000000B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ACQ4 bietet die Möglichkeit, verfallene Rechnungen im Client zu löschen. Im SMM kann jedoch dafür in den Systembefugnissen nicht explizit ein Recht zugeteilt oder verweigert werden. "Rechnung löschen" ist nicht an die Befugnisse "Lieferung löschen" oder "Abonnement löschen" gekoppelt und wird auch nicht durch die (De-)Aktivierung der Funktion "Erwerbungsmitarbeiter" beeinflusst.</w:t>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Die Erlaubnis zum Löschen von Rechnungen muss auf einige wenige Kennungen beschränkt werden können, da hier sehr sensible Daten betroffen sind</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Lösungsversionen: keine</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Medium</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open</w:t>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none</w:t>
            </w:r>
          </w:p>
          <w:p w:rsidR="00000000" w:rsidDel="00000000" w:rsidP="00000000" w:rsidRDefault="00000000" w:rsidRPr="00000000" w14:paraId="000000BB">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rPr>
                <w:b w:val="1"/>
                <w:sz w:val="22"/>
                <w:szCs w:val="22"/>
              </w:rPr>
            </w:pPr>
            <w:r w:rsidDel="00000000" w:rsidR="00000000" w:rsidRPr="00000000">
              <w:rPr>
                <w:rFonts w:ascii="Calibri" w:cs="Calibri" w:eastAsia="Calibri" w:hAnsi="Calibri"/>
                <w:b w:val="1"/>
                <w:color w:val="c00000"/>
                <w:sz w:val="22"/>
                <w:szCs w:val="22"/>
                <w:rtl w:val="0"/>
              </w:rPr>
              <w:t xml:space="preserve">Prio. High </w:t>
            </w:r>
            <w:r w:rsidDel="00000000" w:rsidR="00000000" w:rsidRPr="00000000">
              <w:rPr>
                <w:rtl w:val="0"/>
              </w:rPr>
            </w:r>
          </w:p>
        </w:tc>
      </w:tr>
      <w:tr>
        <w:tc>
          <w:tcPr>
            <w:gridSpan w:val="4"/>
            <w:shd w:fill="dbe5f1" w:val="clear"/>
          </w:tcPr>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rtl w:val="0"/>
              </w:rPr>
              <w:t xml:space="preserve">Übersicht Ausgaben Fortsetzungen „s total“</w:t>
            </w:r>
            <w:r w:rsidDel="00000000" w:rsidR="00000000" w:rsidRPr="00000000">
              <w:rPr>
                <w:rtl w:val="0"/>
              </w:rPr>
            </w:r>
          </w:p>
        </w:tc>
      </w:tr>
      <w:tr>
        <w:tc>
          <w:tcPr/>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"https://issues.oclcpica.org/browse/LBS-1532" </w:instrText>
              <w:fldChar w:fldCharType="separate"/>
            </w:r>
            <w:r w:rsidDel="00000000" w:rsidR="00000000" w:rsidRPr="00000000">
              <w:rPr>
                <w:color w:val="0000ff"/>
                <w:u w:val="single"/>
                <w:rtl w:val="0"/>
              </w:rPr>
              <w:t xml:space="preserve">LBS-1532</w:t>
            </w:r>
            <w:r w:rsidDel="00000000" w:rsidR="00000000" w:rsidRPr="00000000">
              <w:fldChar w:fldCharType="end"/>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"https://issues.oclcpica.org/browse/LBS-1532" </w:instrText>
              <w:fldChar w:fldCharType="separate"/>
            </w:r>
            <w:r w:rsidDel="00000000" w:rsidR="00000000" w:rsidRPr="00000000">
              <w:fldChar w:fldCharType="end"/>
            </w:r>
            <w:r w:rsidDel="00000000" w:rsidR="00000000" w:rsidRPr="00000000">
              <w:rPr>
                <w:b w:val="1"/>
                <w:rtl w:val="0"/>
              </w:rPr>
              <w:t xml:space="preserve">ACQ4 - show / edit orders: the "s total" functionality works not as in LBS3 - results are not added in fiscal years</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presentation of the orders total amounts, number of deliveries and invoices, obligations is in LBS4 not sufficient. The libraries want to know, how much they spend for a standing order in one fiscal year and how any deliveries they got.</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LBS4 the presentation only shows the added amounts for the whole period the order exists. There is no partition into fiscal years.</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See attachement for examples.</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was already send to OCLC a long time ago, but the message disappeared without solving the problem.</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Very important for LBS Hannover.</w:t>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pPr>
            <w:hyperlink r:id="rId17">
              <w:r w:rsidDel="00000000" w:rsidR="00000000" w:rsidRPr="00000000">
                <w:rPr>
                  <w:color w:val="0000ff"/>
                  <w:u w:val="single"/>
                  <w:rtl w:val="0"/>
                </w:rPr>
                <w:t xml:space="preserve">LBSVIER-430</w:t>
              </w:r>
            </w:hyperlink>
            <w:r w:rsidDel="00000000" w:rsidR="00000000" w:rsidRPr="00000000">
              <w:rPr>
                <w:rtl w:val="0"/>
              </w:rPr>
              <w:t xml:space="preserve">: </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ACQ4 - Lieferungsübersicht bei Fortsetzungsbestellungen wird ohne Untergliederung in Haushaltsjahre dargestellt - "s total" in LBS3</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Die Übersicht über alle Lieferungen / Rechnungen und Beträge zu einer (Fortsetzung-)Bestellung wird im LBS4 nicht analog LBS3 in Haushaltsjahre untergliedert dargestellt.</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Wichtig für LBS Hannover</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Bsp. im Anhang</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GBV LBS4-Anwendergruppe: nicht priorisierte Fehler</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Lösungsversionen: 5.0</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more info provided</w:t>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Backlog</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Kommentare:</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Reedijk,Peter added a comment - 21/Feb/13 1:15 PM</w:t>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Specs are clear, issue is ready to be scheduled</w:t>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2">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rPr>
                <w:b w:val="0"/>
                <w:sz w:val="22"/>
                <w:szCs w:val="22"/>
              </w:rPr>
            </w:pPr>
            <w:r w:rsidDel="00000000" w:rsidR="00000000" w:rsidRPr="00000000">
              <w:rPr>
                <w:rFonts w:ascii="Calibri" w:cs="Calibri" w:eastAsia="Calibri" w:hAnsi="Calibri"/>
                <w:b w:val="1"/>
                <w:color w:val="c00000"/>
                <w:sz w:val="22"/>
                <w:szCs w:val="22"/>
                <w:rtl w:val="0"/>
              </w:rPr>
              <w:t xml:space="preserve">Prio: medium </w:t>
            </w:r>
            <w:r w:rsidDel="00000000" w:rsidR="00000000" w:rsidRPr="00000000">
              <w:rPr>
                <w:rtl w:val="0"/>
              </w:rPr>
            </w:r>
          </w:p>
        </w:tc>
      </w:tr>
      <w:tr>
        <w:tc>
          <w:tcPr>
            <w:gridSpan w:val="4"/>
            <w:shd w:fill="dbe5f1" w:val="clear"/>
          </w:tcPr>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color w:val="000000"/>
                <w:highlight w:val="yellow"/>
              </w:rPr>
            </w:pPr>
            <w:r w:rsidDel="00000000" w:rsidR="00000000" w:rsidRPr="00000000">
              <w:rPr>
                <w:b w:val="1"/>
                <w:rtl w:val="0"/>
              </w:rPr>
              <w:t xml:space="preserve">Institutszuordnung</w:t>
            </w:r>
            <w:r w:rsidDel="00000000" w:rsidR="00000000" w:rsidRPr="00000000">
              <w:rPr>
                <w:rtl w:val="0"/>
              </w:rPr>
            </w:r>
          </w:p>
        </w:tc>
      </w:tr>
      <w:tr>
        <w:tc>
          <w:tcPr/>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rPr/>
            </w:pPr>
            <w:hyperlink r:id="rId18">
              <w:r w:rsidDel="00000000" w:rsidR="00000000" w:rsidRPr="00000000">
                <w:rPr>
                  <w:color w:val="0000ff"/>
                  <w:u w:val="single"/>
                  <w:rtl w:val="0"/>
                </w:rPr>
                <w:t xml:space="preserve">LBS-4703</w:t>
              </w:r>
            </w:hyperlink>
            <w:r w:rsidDel="00000000" w:rsidR="00000000" w:rsidRPr="00000000">
              <w:fldChar w:fldCharType="begin"/>
              <w:instrText xml:space="preserve"> HYPERLINK "https://issues.oclcpica.org/browse/LBS-4703" </w:instrText>
              <w:fldChar w:fldCharType="separate"/>
            </w:r>
            <w:r w:rsidDel="00000000" w:rsidR="00000000" w:rsidRPr="00000000">
              <w:rPr>
                <w:rtl w:val="0"/>
              </w:rPr>
            </w:r>
            <w:r w:rsidDel="00000000" w:rsidR="00000000" w:rsidRPr="00000000">
              <w:fldChar w:fldCharType="end"/>
            </w:r>
          </w:p>
        </w:tc>
        <w:tc>
          <w:tcPr/>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"https://issues.oclcpica.org/browse/LBS-4703" </w:instrText>
              <w:fldChar w:fldCharType="separate"/>
            </w:r>
            <w:r w:rsidDel="00000000" w:rsidR="00000000" w:rsidRPr="00000000">
              <w:fldChar w:fldCharType="end"/>
            </w:r>
            <w:r w:rsidDel="00000000" w:rsidR="00000000" w:rsidRPr="00000000">
              <w:rPr>
                <w:b w:val="1"/>
                <w:rtl w:val="0"/>
              </w:rPr>
              <w:t xml:space="preserve">ACQ: Institute Code; changes made on screen orders are not updated in all related database fields</w:t>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concerns ILNs with multiple institutes. When it happens (that a purchase order uses different institute codes) reminders will be generated for purchase orders and deliveries belonging to another institute.</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rPr>
                <w:color w:val="000000"/>
                <w:highlight w:val="yellow"/>
              </w:rPr>
            </w:pPr>
            <w:r w:rsidDel="00000000" w:rsidR="00000000" w:rsidRPr="00000000">
              <w:rPr>
                <w:rtl w:val="0"/>
              </w:rPr>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rPr/>
            </w:pPr>
            <w:hyperlink r:id="rId19">
              <w:r w:rsidDel="00000000" w:rsidR="00000000" w:rsidRPr="00000000">
                <w:rPr>
                  <w:color w:val="0000ff"/>
                  <w:u w:val="single"/>
                  <w:rtl w:val="0"/>
                </w:rPr>
                <w:t xml:space="preserve">LBSVIER-850</w:t>
              </w:r>
            </w:hyperlink>
            <w:r w:rsidDel="00000000" w:rsidR="00000000" w:rsidRPr="00000000">
              <w:fldChar w:fldCharType="begin"/>
              <w:instrText xml:space="preserve"> HYPERLINK "https://jira.gbv.de/browse/LBSVIER-850" </w:instrText>
              <w:fldChar w:fldCharType="separate"/>
            </w: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end"/>
            </w:r>
            <w:r w:rsidDel="00000000" w:rsidR="00000000" w:rsidRPr="00000000">
              <w:rPr>
                <w:b w:val="1"/>
                <w:rtl w:val="0"/>
              </w:rPr>
              <w:t xml:space="preserve">ACQ4: Fehlerhafte / unstimmige Institutszuordnung</w:t>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rPr>
                <w:color w:val="000000"/>
                <w:highlight w:val="yellow"/>
              </w:rPr>
            </w:pPr>
            <w:r w:rsidDel="00000000" w:rsidR="00000000" w:rsidRPr="00000000">
              <w:rPr>
                <w:rtl w:val="0"/>
              </w:rPr>
              <w:t xml:space="preserve">Wenn bei einer ILN mit mehreren Institutscodes bei einer Bestellung die Institutszuordnung im LBS4-Client nachträglich geändert wird, passiert es manchmal, dass der neue Institutscode für diese Bestellung nicht in allen dazugehörigen Datenbanktabellen (orders, delivery, orders_index und orders_ppn), in denen es einen Datensatz zur betreffenden Bestellnummer gibt, angepasst wird. </w:t>
              <w:br w:type="textWrapping"/>
              <w:t xml:space="preserve">Dies führt dazu, dass z. B. bei einem Mahnlauf für ein bestimmtes ACQ-Institut auch Bestellungen/Lieferungen gemahnt werden, die in der Tabelle orders einem anderen Institut zugeordnet sind.</w:t>
            </w:r>
            <w:r w:rsidDel="00000000" w:rsidR="00000000" w:rsidRPr="00000000">
              <w:rPr>
                <w:rtl w:val="0"/>
              </w:rPr>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Prirority</w:t>
            </w:r>
            <w:r w:rsidDel="00000000" w:rsidR="00000000" w:rsidRPr="00000000">
              <w:rPr>
                <w:rtl w:val="0"/>
              </w:rPr>
              <w:t xml:space="preserve">: </w:t>
            </w:r>
            <w:r w:rsidDel="00000000" w:rsidR="00000000" w:rsidRPr="00000000">
              <w:rPr>
                <w:b w:val="1"/>
                <w:color w:val="c00000"/>
                <w:rtl w:val="0"/>
              </w:rPr>
              <w:t xml:space="preserve">High</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Unresolved</w:t>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None </w:t>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Created</w:t>
            </w:r>
            <w:r w:rsidDel="00000000" w:rsidR="00000000" w:rsidRPr="00000000">
              <w:rPr>
                <w:rtl w:val="0"/>
              </w:rPr>
              <w:t xml:space="preserve">: 09.06.2016 </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spacing w:after="0" w:before="0" w:line="276" w:lineRule="auto"/>
              <w:ind w:left="720" w:firstLine="0"/>
              <w:rPr>
                <w:rFonts w:ascii="Calibri" w:cs="Calibri" w:eastAsia="Calibri" w:hAnsi="Calibri"/>
                <w:b w:val="1"/>
                <w:color w:val="c00000"/>
                <w:sz w:val="22"/>
                <w:szCs w:val="22"/>
              </w:rPr>
            </w:pPr>
            <w:r w:rsidDel="00000000" w:rsidR="00000000" w:rsidRPr="00000000">
              <w:rPr>
                <w:rtl w:val="0"/>
              </w:rPr>
            </w:r>
          </w:p>
        </w:tc>
      </w:tr>
      <w:tr>
        <w:tc>
          <w:tcPr>
            <w:gridSpan w:val="4"/>
            <w:shd w:fill="dbe5f1" w:val="clear"/>
          </w:tcPr>
          <w:p w:rsidR="00000000" w:rsidDel="00000000" w:rsidP="00000000" w:rsidRDefault="00000000" w:rsidRPr="00000000" w14:paraId="000000F7">
            <w:pPr>
              <w:pBdr>
                <w:top w:space="0" w:sz="0" w:val="nil"/>
                <w:left w:space="0" w:sz="0" w:val="nil"/>
                <w:bottom w:space="0" w:sz="0" w:val="nil"/>
                <w:right w:space="0" w:sz="0" w:val="nil"/>
                <w:between w:space="0" w:sz="0" w:val="nil"/>
              </w:pBdr>
              <w:shd w:fill="auto" w:val="clear"/>
              <w:rPr>
                <w:u w:val="single"/>
              </w:rPr>
            </w:pPr>
            <w:r w:rsidDel="00000000" w:rsidR="00000000" w:rsidRPr="00000000">
              <w:rPr>
                <w:b w:val="1"/>
                <w:rtl w:val="0"/>
              </w:rPr>
              <w:t xml:space="preserve">Quick Sprints</w:t>
            </w:r>
            <w:r w:rsidDel="00000000" w:rsidR="00000000" w:rsidRPr="00000000">
              <w:rPr>
                <w:rtl w:val="0"/>
              </w:rPr>
            </w:r>
          </w:p>
        </w:tc>
      </w:tr>
      <w:tr>
        <w:tc>
          <w:tcPr/>
          <w:p w:rsidR="00000000" w:rsidDel="00000000" w:rsidP="00000000" w:rsidRDefault="00000000" w:rsidRPr="00000000" w14:paraId="000000FB">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"https://issues.oclcpica.org/browse/LBS-4109" </w:instrText>
              <w:fldChar w:fldCharType="separate"/>
            </w:r>
            <w:r w:rsidDel="00000000" w:rsidR="00000000" w:rsidRPr="00000000">
              <w:rPr>
                <w:color w:val="0000ff"/>
                <w:u w:val="single"/>
                <w:rtl w:val="0"/>
              </w:rPr>
              <w:t xml:space="preserve">LBS-4109</w:t>
            </w:r>
            <w:r w:rsidDel="00000000" w:rsidR="00000000" w:rsidRPr="00000000">
              <w:fldChar w:fldCharType="end"/>
            </w:r>
          </w:p>
        </w:tc>
        <w:tc>
          <w:tcPr/>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"https://issues.oclcpica.org/browse/LBS-4109" </w:instrText>
              <w:fldChar w:fldCharType="separate"/>
            </w:r>
            <w:r w:rsidDel="00000000" w:rsidR="00000000" w:rsidRPr="00000000">
              <w:fldChar w:fldCharType="end"/>
            </w:r>
            <w:r w:rsidDel="00000000" w:rsidR="00000000" w:rsidRPr="00000000">
              <w:rPr>
                <w:b w:val="1"/>
                <w:rtl w:val="0"/>
              </w:rPr>
              <w:t xml:space="preserve">ACQ4 - subscription circulation list - edit / add list members is not possible</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not possible to add list members on all subscription circulation lists. </w:t>
              <w:br w:type="textWrapping"/>
              <w:t xml:space="preserve">ACQ4 gives an error message and closed the screen. (see screenshot below)</w:t>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LBSVIER-000</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 ist derzeitig nicht möglich auf neuen oder vorhandenen Umlauflisten Teilnehmer zu ergänzen.</w:t>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k.o. Kriterium für diese Funktion</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p w:rsidR="00000000" w:rsidDel="00000000" w:rsidP="00000000" w:rsidRDefault="00000000" w:rsidRPr="00000000" w14:paraId="00000105">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High</w:t>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Open</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5.0</w:t>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sz w:val="22"/>
                <w:szCs w:val="22"/>
                <w:u w:val="single"/>
                <w:rtl w:val="0"/>
              </w:rPr>
              <w:t xml:space="preserve">Lösungsversion</w:t>
            </w:r>
            <w:r w:rsidDel="00000000" w:rsidR="00000000" w:rsidRPr="00000000">
              <w:rPr>
                <w:rFonts w:ascii="Calibri" w:cs="Calibri" w:eastAsia="Calibri" w:hAnsi="Calibri"/>
                <w:b w:val="0"/>
                <w:sz w:val="22"/>
                <w:szCs w:val="22"/>
                <w:rtl w:val="0"/>
              </w:rPr>
              <w:t xml:space="preserve">: 5.0</w:t>
              <w:br w:type="textWrapping"/>
            </w:r>
            <w:r w:rsidDel="00000000" w:rsidR="00000000" w:rsidRPr="00000000">
              <w:rPr>
                <w:rFonts w:ascii="Calibri" w:cs="Calibri" w:eastAsia="Calibri" w:hAnsi="Calibri"/>
                <w:b w:val="0"/>
                <w:sz w:val="22"/>
                <w:szCs w:val="22"/>
                <w:u w:val="single"/>
                <w:rtl w:val="0"/>
              </w:rPr>
              <w:t xml:space="preserve">Erstellt</w:t>
            </w:r>
            <w:r w:rsidDel="00000000" w:rsidR="00000000" w:rsidRPr="00000000">
              <w:rPr>
                <w:rFonts w:ascii="Calibri" w:cs="Calibri" w:eastAsia="Calibri" w:hAnsi="Calibri"/>
                <w:b w:val="0"/>
                <w:sz w:val="22"/>
                <w:szCs w:val="22"/>
                <w:rtl w:val="0"/>
              </w:rPr>
              <w:t xml:space="preserve">: 25.11.2014</w:t>
            </w: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OCLC 12.12.14: Diakritika aus Umlaufteilnehmern per SQL löschen!</w:t>
            </w:r>
          </w:p>
          <w:p w:rsidR="00000000" w:rsidDel="00000000" w:rsidP="00000000" w:rsidRDefault="00000000" w:rsidRPr="00000000" w14:paraId="0000010C">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rPr>
                <w:b w:val="0"/>
                <w:sz w:val="22"/>
                <w:szCs w:val="22"/>
              </w:rPr>
            </w:pPr>
            <w:r w:rsidDel="00000000" w:rsidR="00000000" w:rsidRPr="00000000">
              <w:rPr>
                <w:rFonts w:ascii="Calibri" w:cs="Calibri" w:eastAsia="Calibri" w:hAnsi="Calibri"/>
                <w:b w:val="1"/>
                <w:color w:val="c00000"/>
                <w:sz w:val="22"/>
                <w:szCs w:val="22"/>
                <w:rtl w:val="0"/>
              </w:rPr>
              <w:t xml:space="preserve">Prio: high  - easy to solve </w:t>
            </w: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spacing w:after="0" w:before="0" w:line="276" w:lineRule="auto"/>
              <w:ind w:left="720" w:firstLine="0"/>
              <w:rPr>
                <w:rFonts w:ascii="Calibri" w:cs="Calibri" w:eastAsia="Calibri" w:hAnsi="Calibri"/>
                <w:b w:val="0"/>
                <w:sz w:val="22"/>
                <w:szCs w:val="22"/>
              </w:rPr>
            </w:pPr>
            <w:r w:rsidDel="00000000" w:rsidR="00000000" w:rsidRPr="00000000">
              <w:rPr>
                <w:rtl w:val="0"/>
              </w:rPr>
            </w:r>
          </w:p>
        </w:tc>
      </w:tr>
      <w:tr>
        <w:tc>
          <w:tcPr/>
          <w:p w:rsidR="00000000" w:rsidDel="00000000" w:rsidP="00000000" w:rsidRDefault="00000000" w:rsidRPr="00000000" w14:paraId="0000010E">
            <w:pPr>
              <w:pBdr>
                <w:top w:space="0" w:sz="0" w:val="nil"/>
                <w:left w:space="0" w:sz="0" w:val="nil"/>
                <w:bottom w:space="0" w:sz="0" w:val="nil"/>
                <w:right w:space="0" w:sz="0" w:val="nil"/>
                <w:between w:space="0" w:sz="0" w:val="nil"/>
              </w:pBdr>
              <w:shd w:fill="auto" w:val="clear"/>
              <w:rPr>
                <w:color w:val="0000ff"/>
                <w:u w:val="single"/>
              </w:rPr>
            </w:pPr>
            <w:r w:rsidDel="00000000" w:rsidR="00000000" w:rsidRPr="00000000">
              <w:fldChar w:fldCharType="begin"/>
              <w:instrText xml:space="preserve"> HYPERLINK "https://issues.oclcpica.org/browse/LBS-2824" </w:instrText>
              <w:fldChar w:fldCharType="separate"/>
            </w:r>
            <w:r w:rsidDel="00000000" w:rsidR="00000000" w:rsidRPr="00000000">
              <w:rPr>
                <w:color w:val="0000ff"/>
                <w:u w:val="single"/>
                <w:rtl w:val="0"/>
              </w:rPr>
              <w:t xml:space="preserve">LBS-2824</w:t>
            </w:r>
            <w:r w:rsidDel="00000000" w:rsidR="00000000" w:rsidRPr="00000000">
              <w:fldChar w:fldCharType="end"/>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shd w:fill="auto" w:val="clear"/>
              <w:rPr>
                <w:b w:val="1"/>
              </w:rPr>
            </w:pPr>
            <w:r w:rsidDel="00000000" w:rsidR="00000000" w:rsidRPr="00000000">
              <w:fldChar w:fldCharType="begin"/>
              <w:instrText xml:space="preserve"> HYPERLINK "https://issues.oclcpica.org/browse/LBS-2824" </w:instrText>
              <w:fldChar w:fldCharType="separate"/>
            </w:r>
            <w:r w:rsidDel="00000000" w:rsidR="00000000" w:rsidRPr="00000000">
              <w:fldChar w:fldCharType="end"/>
            </w:r>
            <w:r w:rsidDel="00000000" w:rsidR="00000000" w:rsidRPr="00000000">
              <w:rPr>
                <w:b w:val="1"/>
                <w:rtl w:val="0"/>
              </w:rPr>
              <w:t xml:space="preserve">APCC / ACQ4 - sending reminders by email - subject is not filled in correctly</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sending reminder via email works now for both programmes (rem_del, rem_issues), but the subject in the Email is not taken from a subject definition with layout nr. "101" or "102" like it is now for "status:change" (= subject with layout nr "100").</w:t>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subject is taken from the definition row with layout "340/341" or "345". This is not consistent.</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Investigation needed whether SMM setup is about form layout number or about form number.</w:t>
            </w:r>
          </w:p>
        </w:tc>
        <w:tc>
          <w:tcPr/>
          <w:p w:rsidR="00000000" w:rsidDel="00000000" w:rsidP="00000000" w:rsidRDefault="00000000" w:rsidRPr="00000000" w14:paraId="00000116">
            <w:pPr>
              <w:pBdr>
                <w:top w:space="0" w:sz="0" w:val="nil"/>
                <w:left w:space="0" w:sz="0" w:val="nil"/>
                <w:bottom w:space="0" w:sz="0" w:val="nil"/>
                <w:right w:space="0" w:sz="0" w:val="nil"/>
                <w:between w:space="0" w:sz="0" w:val="nil"/>
              </w:pBdr>
              <w:shd w:fill="auto" w:val="clear"/>
              <w:rPr/>
            </w:pPr>
            <w:hyperlink r:id="rId20">
              <w:r w:rsidDel="00000000" w:rsidR="00000000" w:rsidRPr="00000000">
                <w:rPr>
                  <w:color w:val="0000ff"/>
                  <w:u w:val="single"/>
                  <w:rtl w:val="0"/>
                </w:rPr>
                <w:t xml:space="preserve">LBSVIER-594</w:t>
              </w:r>
            </w:hyperlink>
            <w:r w:rsidDel="00000000" w:rsidR="00000000" w:rsidRPr="00000000">
              <w:rPr>
                <w:rtl w:val="0"/>
              </w:rPr>
              <w:t xml:space="preserve"> </w:t>
            </w:r>
          </w:p>
          <w:p w:rsidR="00000000" w:rsidDel="00000000" w:rsidP="00000000" w:rsidRDefault="00000000" w:rsidRPr="00000000" w14:paraId="0000011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APCC / ACQ4 - Email-Versand von ACQ4-Mahnungen hat workaround für Ausgabe des "Betreffs / subject"</w:t>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Mahnschreiben per E-Mail: das Einfügen des Betreffs erfolgt nicht konsistent zur Funktionalität. </w:t>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Die Funktion wurde komplett überarbeitet. Der Betreff müsste aus der neuen Version generiert werden – es geschieht jedoch aus der alten Version heraus, die auf neuen Systemen nicht installiert werden sollte.</w:t>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Priorität: Hoch</w:t>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Status: In Arbeit</w:t>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Lösungsversion: 5.0; 2.10</w:t>
            </w:r>
          </w:p>
        </w:tc>
        <w:tc>
          <w:tcPr/>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Priority</w:t>
            </w:r>
            <w:r w:rsidDel="00000000" w:rsidR="00000000" w:rsidRPr="00000000">
              <w:rPr>
                <w:rtl w:val="0"/>
              </w:rPr>
              <w:t xml:space="preserve">: Medium</w:t>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Status</w:t>
            </w:r>
            <w:r w:rsidDel="00000000" w:rsidR="00000000" w:rsidRPr="00000000">
              <w:rPr>
                <w:rtl w:val="0"/>
              </w:rPr>
              <w:t xml:space="preserve">: Open</w:t>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Fix Version</w:t>
            </w:r>
            <w:r w:rsidDel="00000000" w:rsidR="00000000" w:rsidRPr="00000000">
              <w:rPr>
                <w:rtl w:val="0"/>
              </w:rPr>
              <w:t xml:space="preserve">: 2.10</w:t>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OCLC 12.12.14: Quickfix oder 5.X</w:t>
            </w:r>
          </w:p>
          <w:p w:rsidR="00000000" w:rsidDel="00000000" w:rsidP="00000000" w:rsidRDefault="00000000" w:rsidRPr="00000000" w14:paraId="00000124">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rPr>
                <w:b w:val="0"/>
                <w:sz w:val="22"/>
                <w:szCs w:val="22"/>
              </w:rPr>
            </w:pPr>
            <w:r w:rsidDel="00000000" w:rsidR="00000000" w:rsidRPr="00000000">
              <w:rPr>
                <w:rFonts w:ascii="Calibri" w:cs="Calibri" w:eastAsia="Calibri" w:hAnsi="Calibri"/>
                <w:b w:val="1"/>
                <w:color w:val="c00000"/>
                <w:sz w:val="22"/>
                <w:szCs w:val="22"/>
                <w:rtl w:val="0"/>
              </w:rPr>
              <w:t xml:space="preserve">Prio: high  - easy to solve </w:t>
            </w:r>
            <w:r w:rsidDel="00000000" w:rsidR="00000000" w:rsidRPr="00000000">
              <w:rPr>
                <w:rtl w:val="0"/>
              </w:rPr>
            </w:r>
          </w:p>
        </w:tc>
      </w:tr>
    </w:tbl>
    <w:p w:rsidR="00000000" w:rsidDel="00000000" w:rsidP="00000000" w:rsidRDefault="00000000" w:rsidRPr="00000000" w14:paraId="000001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21" w:type="default"/>
      <w:footerReference r:id="rId22" w:type="default"/>
      <w:pgSz w:h="11906" w:w="16838"/>
      <w:pgMar w:bottom="1417" w:top="1417"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9">
    <w:pPr>
      <w:pBdr>
        <w:top w:space="0" w:sz="0" w:val="nil"/>
        <w:left w:space="0" w:sz="0" w:val="nil"/>
        <w:bottom w:space="0" w:sz="0" w:val="nil"/>
        <w:right w:space="0" w:sz="0" w:val="nil"/>
        <w:between w:space="0" w:sz="0" w:val="nil"/>
      </w:pBdr>
      <w:shd w:fill="auto" w:val="clear"/>
      <w:tabs>
        <w:tab w:val="center" w:pos="4536"/>
        <w:tab w:val="right" w:pos="9072"/>
      </w:tabs>
      <w:spacing w:after="708" w:before="0" w:line="240" w:lineRule="auto"/>
      <w:jc w:val="right"/>
      <w:rPr/>
    </w:pPr>
    <w:r w:rsidDel="00000000" w:rsidR="00000000" w:rsidRPr="00000000">
      <w:rPr>
        <w:rFonts w:ascii="Calibri" w:cs="Calibri" w:eastAsia="Calibri" w:hAnsi="Calibri"/>
        <w:b w:val="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hd w:fill="auto" w:val="clear"/>
      <w:tabs>
        <w:tab w:val="center" w:pos="4536"/>
        <w:tab w:val="right" w:pos="9072"/>
      </w:tabs>
      <w:spacing w:after="708" w:before="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pBdr>
        <w:top w:space="0" w:sz="0" w:val="nil"/>
        <w:left w:space="0" w:sz="0" w:val="nil"/>
        <w:bottom w:space="0" w:sz="0" w:val="nil"/>
        <w:right w:space="0" w:sz="0" w:val="nil"/>
        <w:between w:space="0" w:sz="0" w:val="nil"/>
      </w:pBdr>
      <w:shd w:fill="auto" w:val="clear"/>
      <w:tabs>
        <w:tab w:val="center" w:pos="4536"/>
        <w:tab w:val="right" w:pos="9072"/>
      </w:tabs>
      <w:spacing w:after="0" w:before="708" w:line="240" w:lineRule="auto"/>
      <w:rPr>
        <w:rFonts w:ascii="Calibri" w:cs="Calibri" w:eastAsia="Calibri" w:hAnsi="Calibri"/>
        <w:b w:val="1"/>
        <w:sz w:val="40"/>
        <w:szCs w:val="40"/>
      </w:rPr>
    </w:pPr>
    <w:r w:rsidDel="00000000" w:rsidR="00000000" w:rsidRPr="00000000">
      <w:rPr>
        <w:rFonts w:ascii="Calibri" w:cs="Calibri" w:eastAsia="Calibri" w:hAnsi="Calibri"/>
        <w:b w:val="1"/>
        <w:color w:val="0070c0"/>
        <w:sz w:val="44"/>
        <w:szCs w:val="44"/>
        <w:rtl w:val="0"/>
      </w:rPr>
      <w:t xml:space="preserve">ACQ</w:t>
    </w:r>
    <w:r w:rsidDel="00000000" w:rsidR="00000000" w:rsidRPr="00000000">
      <w:rPr>
        <w:rFonts w:ascii="Calibri" w:cs="Calibri" w:eastAsia="Calibri" w:hAnsi="Calibri"/>
        <w:b w:val="1"/>
        <w:sz w:val="40"/>
        <w:szCs w:val="40"/>
        <w:rtl w:val="0"/>
      </w:rPr>
      <w:t xml:space="preserve">-JIRAs nach Version 2.9 (FAG + VZG)</w:t>
    </w:r>
  </w:p>
  <w:p w:rsidR="00000000" w:rsidDel="00000000" w:rsidP="00000000" w:rsidRDefault="00000000" w:rsidRPr="00000000" w14:paraId="00000128">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c00000"/>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pPr>
    <w:rPr>
      <w:rFonts w:ascii="Calibri" w:cs="Calibri" w:eastAsia="Calibri" w:hAnsi="Calibri"/>
      <w:b w:val="1"/>
      <w:sz w:val="32"/>
      <w:szCs w:val="32"/>
    </w:rPr>
  </w:style>
  <w:style w:type="paragraph" w:styleId="Heading2">
    <w:name w:val="heading 2"/>
    <w:basedOn w:val="Normal"/>
    <w:next w:val="Normal"/>
    <w:pPr>
      <w:keepNext w:val="1"/>
      <w:keepLines w:val="1"/>
      <w:spacing w:after="0" w:before="200" w:line="276" w:lineRule="auto"/>
    </w:pPr>
    <w:rPr>
      <w:rFonts w:ascii="Calibri" w:cs="Calibri" w:eastAsia="Calibri" w:hAnsi="Calibri"/>
      <w:b w:val="1"/>
      <w:sz w:val="28"/>
      <w:szCs w:val="28"/>
    </w:rPr>
  </w:style>
  <w:style w:type="paragraph" w:styleId="Heading3">
    <w:name w:val="heading 3"/>
    <w:basedOn w:val="Normal"/>
    <w:next w:val="Normal"/>
    <w:pPr>
      <w:keepNext w:val="1"/>
      <w:keepLines w:val="1"/>
      <w:spacing w:after="0" w:before="200" w:line="276" w:lineRule="auto"/>
    </w:pPr>
    <w:rPr>
      <w:rFonts w:ascii="Cambria" w:cs="Cambria" w:eastAsia="Cambria" w:hAnsi="Cambria"/>
      <w:b w:val="1"/>
      <w:color w:val="4f81bd"/>
      <w:sz w:val="22"/>
      <w:szCs w:val="22"/>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300" w:before="0" w:line="240" w:lineRule="auto"/>
    </w:pPr>
    <w:rPr>
      <w:rFonts w:ascii="Cambria" w:cs="Cambria" w:eastAsia="Cambria" w:hAnsi="Cambria"/>
      <w:b w:val="0"/>
      <w:sz w:val="52"/>
      <w:szCs w:val="5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jira.gbv.de/browse/LBSVIER-594" TargetMode="External"/><Relationship Id="rId11" Type="http://schemas.openxmlformats.org/officeDocument/2006/relationships/hyperlink" Target="https://jira.gbv.de/browse/LBSVIER-835" TargetMode="External"/><Relationship Id="rId22" Type="http://schemas.openxmlformats.org/officeDocument/2006/relationships/footer" Target="footer1.xml"/><Relationship Id="rId10" Type="http://schemas.openxmlformats.org/officeDocument/2006/relationships/hyperlink" Target="https://issues.oclcpica.org/browse/LBS-4717" TargetMode="External"/><Relationship Id="rId21" Type="http://schemas.openxmlformats.org/officeDocument/2006/relationships/header" Target="header1.xml"/><Relationship Id="rId13" Type="http://schemas.openxmlformats.org/officeDocument/2006/relationships/hyperlink" Target="https://issues.oclcpica.org/browse/LBS-498" TargetMode="External"/><Relationship Id="rId12" Type="http://schemas.openxmlformats.org/officeDocument/2006/relationships/hyperlink" Target="https://jira.gbv.de/browse/LBSVIER-14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ssues.oclcpica.org/browse/LBS-1581" TargetMode="External"/><Relationship Id="rId15" Type="http://schemas.openxmlformats.org/officeDocument/2006/relationships/hyperlink" Target="https://jira.gbv.de/browse/LBSVIER-703" TargetMode="External"/><Relationship Id="rId14" Type="http://schemas.openxmlformats.org/officeDocument/2006/relationships/hyperlink" Target="https://jira.gbv.de/browse/LBSVIER-448" TargetMode="External"/><Relationship Id="rId17" Type="http://schemas.openxmlformats.org/officeDocument/2006/relationships/hyperlink" Target="https://jira.gbv.de/browse/LBSVIER-430" TargetMode="External"/><Relationship Id="rId16" Type="http://schemas.openxmlformats.org/officeDocument/2006/relationships/hyperlink" Target="https://jira.gbv.de/browse/LBSVIER-827" TargetMode="External"/><Relationship Id="rId5" Type="http://schemas.openxmlformats.org/officeDocument/2006/relationships/styles" Target="styles.xml"/><Relationship Id="rId19" Type="http://schemas.openxmlformats.org/officeDocument/2006/relationships/hyperlink" Target="https://jira.gbv.de/browse/LBSVIER-850" TargetMode="External"/><Relationship Id="rId6" Type="http://schemas.openxmlformats.org/officeDocument/2006/relationships/hyperlink" Target="https://issues.oclcpica.org/browse/LBS-2838" TargetMode="External"/><Relationship Id="rId18" Type="http://schemas.openxmlformats.org/officeDocument/2006/relationships/hyperlink" Target="https://issues.oclcpica.org/browse/LBS-4703" TargetMode="External"/><Relationship Id="rId7" Type="http://schemas.openxmlformats.org/officeDocument/2006/relationships/hyperlink" Target="https://issues.oclcpica.org/browse/LBS-1527" TargetMode="External"/><Relationship Id="rId8" Type="http://schemas.openxmlformats.org/officeDocument/2006/relationships/hyperlink" Target="https://issues.oclcpica.org/browse/LBS-15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