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b/>
          <w:bCs/>
          <w:color w:val="000000"/>
          <w:sz w:val="28"/>
          <w:szCs w:val="28"/>
          <w:highlight w:val="none"/>
        </w:rPr>
        <w:t xml:space="preserve">Fragenkatalog </w:t>
      </w:r>
      <w:r>
        <w:rPr>
          <w:b/>
          <w:bCs/>
          <w:color w:val="000000"/>
          <w:sz w:val="28"/>
          <w:szCs w:val="28"/>
          <w:highlight w:val="none"/>
        </w:rPr>
        <w:t xml:space="preserve">Übergang von LBS4 zu FOLIO</w:t>
      </w:r>
      <w:r>
        <w:rPr>
          <w:b/>
          <w:bCs/>
          <w:sz w:val="28"/>
          <w:szCs w:val="28"/>
        </w:rPr>
        <w:t xml:space="preserve">:</w:t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i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Erwerbung:</w:t>
      </w:r>
      <w:r>
        <w:rPr>
          <w:b/>
          <w:bCs/>
          <w:sz w:val="28"/>
          <w:szCs w:val="28"/>
          <w:highlight w:val="none"/>
        </w:rPr>
        <w:t xml:space="preserve">  </w:t>
      </w:r>
      <w:r>
        <w:rPr>
          <w:b/>
          <w:bCs/>
          <w:i/>
          <w:iCs/>
          <w:sz w:val="28"/>
          <w:szCs w:val="28"/>
          <w:highlight w:val="none"/>
        </w:rPr>
      </w:r>
      <w:r>
        <w:rPr>
          <w:b/>
          <w:bCs/>
          <w:i/>
          <w:sz w:val="28"/>
          <w:szCs w:val="28"/>
          <w:highlight w:val="none"/>
        </w:rPr>
      </w:r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werden aktive Lieferanten aus LBS4 in FOLIO importiert werden (incl. Lieferantentyp etc.)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 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werden Bestellungen mit Stadium „e-bestellt“ importiert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werden Bestellungen mit Stadium „j=Teillieferungen“ vollständig (auch alle bereits eingegangenen Teillieferungen) in FOLIO übernommen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kann auf inventarisierte LBS4-Bestellungen in FOLIO zugegriffen werden oder wird für die Recherche weiterhin ACQ4 angeboten werden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kann der Umstieg auf FOLIO auch im laufenden HH-Jahr erfolgen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pStyle w:val="832"/>
        <w:numPr>
          <w:ilvl w:val="0"/>
          <w:numId w:val="3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Welche Vorarbeiten sind im LBS4 für eine eventuelle Datenübernahme wichtig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Ausleihe: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32"/>
        <w:numPr>
          <w:ilvl w:val="0"/>
          <w:numId w:val="4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werden Benutzerdatensätze mit den dazugehörigen aktuellen Entleihungen in FOLIO importiert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4"/>
        </w:num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kann die Bandstatistik aus LBS4 übernommen (wichtig für Bestandspflege bzw. - entwicklung) werden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4"/>
        </w:numPr>
        <w:rPr>
          <w:b w:val="0"/>
          <w:bCs w:val="0"/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  <w:t xml:space="preserve">Welche Vorarbeiten sind im LBS4 für eine eventuelle Datenübernahme wichtig</w:t>
      </w:r>
      <w:r>
        <w:rPr>
          <w:sz w:val="20"/>
          <w:szCs w:val="20"/>
          <w:highlight w:val="none"/>
        </w:rPr>
        <w:t xml:space="preserve"> (</w:t>
      </w:r>
      <w:r>
        <w:rPr>
          <w:i/>
          <w:iCs/>
          <w:sz w:val="20"/>
          <w:szCs w:val="20"/>
          <w:highlight w:val="none"/>
        </w:rPr>
        <w:t xml:space="preserve">UBW</w:t>
      </w:r>
      <w:r>
        <w:rPr>
          <w:sz w:val="20"/>
          <w:szCs w:val="20"/>
          <w:highlight w:val="none"/>
        </w:rPr>
        <w:t xml:space="preserve">)</w:t>
      </w:r>
      <w:r/>
    </w:p>
    <w:p>
      <w:pPr>
        <w:pStyle w:val="832"/>
        <w:numPr>
          <w:ilvl w:val="0"/>
          <w:numId w:val="4"/>
        </w:numPr>
        <w:rPr>
          <w:b w:val="0"/>
          <w:bCs w:val="0"/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  <w:t xml:space="preserve">Was ist bzgl. der aktiven und passiven Fernleihen und aktiven Monographien-Direktlieferungen (z.B. Subito) zu beachten, die einige Bibliotheken im OUS verwalten und OPAC nachweisen</w:t>
      </w:r>
      <w:r>
        <w:rPr>
          <w:sz w:val="20"/>
          <w:szCs w:val="20"/>
          <w:highlight w:val="none"/>
        </w:rPr>
      </w:r>
      <w:r/>
    </w:p>
    <w:p>
      <w:pPr>
        <w:ind w:left="0" w:firstLin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Allgemein:</w:t>
      </w:r>
      <w:r>
        <w:rPr>
          <w:b/>
          <w:bCs/>
          <w:sz w:val="28"/>
          <w:szCs w:val="28"/>
          <w:highlight w:val="none"/>
        </w:rPr>
      </w:r>
      <w:r/>
    </w:p>
    <w:p>
      <w:pPr>
        <w:ind w:left="0" w:firstLine="0"/>
        <w:spacing w:after="57" w:afterAutospacing="0" w:line="283" w:lineRule="exac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Werden beim Aufsetzen des Testsystem diverse Konfigurationen von der VZG geleistet?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57" w:afterAutospacing="0" w:line="283" w:lineRule="exac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Können die Einstellungen aus dem Testsystem ins Produktionssystem übernommen werden?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57" w:afterAutospacing="0" w:line="283" w:lineRule="exac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Können Systemberechtigungen aus LBS4 in FOLIO importiert werden (Mitarbeiterbefügnisse ...)?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Wird es ähnlich wie beim Umstieg auf Linux eine Step-by-Step Anleitung mit entsprechenden Verantwortlichkeiten (</w:t>
      </w:r>
      <w:r>
        <w:rPr>
          <w:b w:val="0"/>
          <w:bCs w:val="0"/>
          <w:sz w:val="20"/>
          <w:szCs w:val="20"/>
          <w:highlight w:val="none"/>
        </w:rPr>
        <w:t xml:space="preserve">Bibliothek - VZG) geben</w:t>
      </w:r>
      <w:r>
        <w:t xml:space="preserve">?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Ist ein „Vollumstieg“ empfehlenswert oder sollten Ausleihe und Erwerbung zeitversetzt in „Produktion“ gehen?</w:t>
      </w:r>
      <w:r>
        <w:rPr>
          <w:highlight w:val="none"/>
        </w:rPr>
        <w:t xml:space="preserve"> (</w:t>
      </w:r>
      <w:r>
        <w:rPr>
          <w:i/>
          <w:iCs/>
          <w:highlight w:val="none"/>
        </w:rPr>
        <w:t xml:space="preserve">UBW</w:t>
      </w:r>
      <w:r>
        <w:rPr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highlight w:val="none"/>
        </w:rPr>
      </w:pPr>
      <w:r>
        <w:rPr>
          <w:highlight w:val="none"/>
        </w:rPr>
      </w:r>
      <w:r>
        <w:rPr>
          <w:b w:val="0"/>
          <w:bCs w:val="0"/>
          <w:sz w:val="20"/>
          <w:szCs w:val="20"/>
          <w:highlight w:val="none"/>
        </w:rPr>
        <w:t xml:space="preserve"> </w:t>
      </w:r>
      <w:r>
        <w:rPr>
          <w:highlight w:val="none"/>
        </w:rPr>
      </w:r>
      <w:r/>
    </w:p>
    <w:p>
      <w:pPr>
        <w:ind w:left="0" w:firstLine="0"/>
        <w:rPr>
          <w:b w:val="0"/>
          <w:bCs w:val="0"/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  <w:t xml:space="preserve">Müssen die Bibliotheken eines LBS-Standortes zeitgleich auf FOLIO umsteigen?</w:t>
      </w:r>
      <w:r>
        <w:rPr>
          <w:b w:val="0"/>
          <w:bCs w:val="0"/>
          <w:sz w:val="20"/>
          <w:szCs w:val="20"/>
          <w:highlight w:val="none"/>
        </w:rPr>
        <w:t xml:space="preserve"> (</w:t>
      </w:r>
      <w:r>
        <w:rPr>
          <w:b w:val="0"/>
          <w:bCs w:val="0"/>
          <w:i/>
          <w:iCs/>
          <w:sz w:val="20"/>
          <w:szCs w:val="20"/>
          <w:highlight w:val="none"/>
        </w:rPr>
        <w:t xml:space="preserve">UBW</w:t>
      </w:r>
      <w:r>
        <w:rPr>
          <w:b w:val="0"/>
          <w:bCs w:val="0"/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  <w:t xml:space="preserve">Wie kann ein verbundübergreifender Informationsaustausch auf Bibliotheksebene aussehen? </w:t>
      </w:r>
      <w:r>
        <w:rPr>
          <w:sz w:val="20"/>
          <w:szCs w:val="20"/>
          <w:highlight w:val="none"/>
        </w:rPr>
        <w:t xml:space="preserve">(</w:t>
      </w:r>
      <w:r>
        <w:rPr>
          <w:i/>
          <w:iCs/>
          <w:sz w:val="20"/>
          <w:szCs w:val="20"/>
          <w:highlight w:val="none"/>
        </w:rPr>
        <w:t xml:space="preserve">UBW</w:t>
      </w:r>
      <w:r>
        <w:rPr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  <w:t xml:space="preserve">Wie hoch ist der Schulungsauswand (wie beim Umstieg ACQ4 oder wird mehr bzw. weniger erwartet)?</w:t>
      </w:r>
      <w:r>
        <w:rPr>
          <w:sz w:val="20"/>
          <w:szCs w:val="20"/>
          <w:highlight w:val="none"/>
        </w:rPr>
        <w:t xml:space="preserve"> (</w:t>
      </w:r>
      <w:r>
        <w:rPr>
          <w:i/>
          <w:iCs/>
          <w:sz w:val="20"/>
          <w:szCs w:val="20"/>
          <w:highlight w:val="none"/>
        </w:rPr>
        <w:t xml:space="preserve">UBW</w:t>
      </w:r>
      <w:r>
        <w:rPr>
          <w:sz w:val="20"/>
          <w:szCs w:val="20"/>
          <w:highlight w:val="none"/>
        </w:rPr>
        <w:t xml:space="preserve">)</w:t>
      </w:r>
      <w:r/>
    </w:p>
    <w:p>
      <w:pPr>
        <w:ind w:left="0" w:firstLine="0"/>
        <w:spacing w:after="28" w:afterAutospacing="0" w:line="283" w:lineRule="exact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  <w:t xml:space="preserve">Muss ein „DB-consistency-check“ vorher erfolgen?</w:t>
      </w:r>
      <w:r>
        <w:rPr>
          <w:sz w:val="20"/>
          <w:szCs w:val="20"/>
          <w:highlight w:val="none"/>
        </w:rPr>
      </w:r>
      <w:r/>
    </w:p>
    <w:p>
      <w:pPr>
        <w:ind w:left="0" w:firstLine="0"/>
        <w:spacing w:after="28" w:afterAutospacing="0" w:line="283" w:lineRule="exact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  <w14:ligatures w14:val="none"/>
        </w:rPr>
      </w:r>
      <w:r>
        <w:rPr>
          <w:sz w:val="20"/>
          <w:szCs w:val="20"/>
          <w:highlight w:val="none"/>
          <w14:ligatures w14:val="none"/>
        </w:rPr>
      </w:r>
      <w:r/>
    </w:p>
    <w:p>
      <w:pPr>
        <w:ind w:left="0" w:firstLine="0"/>
        <w:rPr>
          <w:highlight w:val="none"/>
        </w:rPr>
      </w:pPr>
      <w:r>
        <w:rPr>
          <w:sz w:val="20"/>
          <w:szCs w:val="20"/>
          <w:highlight w:val="none"/>
        </w:rPr>
        <w:t xml:space="preserve">In der UB der Humboldt-Uni läuft seit der ALMA die Anmeldung über das IDM der Universität, wie wird d</w:t>
      </w:r>
      <w:r>
        <w:rPr>
          <w:b w:val="0"/>
          <w:bCs w:val="0"/>
          <w:sz w:val="20"/>
          <w:szCs w:val="20"/>
          <w:highlight w:val="none"/>
        </w:rPr>
        <w:t xml:space="preserve">ieses zukünftig laufen, seitens unserem URZ gab es seit mehreren Jahren Anfragen dazu.</w:t>
      </w:r>
      <w:r/>
    </w:p>
    <w:p>
      <w:p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CBS: </w:t>
      </w:r>
      <w:r>
        <w:rPr>
          <w:b w:val="0"/>
          <w:bCs w:val="0"/>
          <w:sz w:val="20"/>
          <w:szCs w:val="20"/>
          <w:highlight w:val="none"/>
        </w:rPr>
        <w:t xml:space="preserve">welche Folgen hat der Wechsel zu FOLIO (Ausleihe und/oder Erwerbung) im Zusammenspiel mit dem CBS? </w:t>
      </w:r>
      <w:r>
        <w:rPr>
          <w:b w:val="0"/>
          <w:bCs w:val="0"/>
          <w:sz w:val="20"/>
          <w:szCs w:val="20"/>
          <w:highlight w:val="none"/>
        </w:rPr>
        <w:t xml:space="preserve">Welche Aufgaben müssen im CBS (vorher) erledigt sein?</w:t>
      </w:r>
      <w:r>
        <w:rPr>
          <w:b w:val="0"/>
          <w:bCs w:val="0"/>
          <w:sz w:val="20"/>
          <w:szCs w:val="20"/>
        </w:rPr>
        <w:t xml:space="preserve"> [Jade Hochschule]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rPr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  <w:t xml:space="preserve">Wird für Reports externe</w:t>
      </w:r>
      <w:r>
        <w:rPr>
          <w:b w:val="0"/>
          <w:bCs w:val="0"/>
          <w:sz w:val="20"/>
          <w:szCs w:val="20"/>
          <w:highlight w:val="none"/>
        </w:rPr>
        <w:t xml:space="preserve"> Software benötigt? Wie umfangreich kann FOLIO Reports selbst erstellen?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  <w:t xml:space="preserve">Weiterentwicklung von FOLIO (Binden, Tausch, OPAC)</w:t>
      </w:r>
      <w:r>
        <w:rPr>
          <w:sz w:val="20"/>
          <w:szCs w:val="20"/>
          <w:highlight w:val="none"/>
        </w:rPr>
      </w:r>
      <w:r/>
    </w:p>
    <w:p>
      <w:pPr>
        <w:rPr>
          <w:b w:val="0"/>
          <w:bCs w:val="0"/>
          <w:sz w:val="20"/>
          <w:szCs w:val="20"/>
          <w:highlight w:val="none"/>
        </w:rPr>
      </w:pPr>
      <w:r>
        <w:rPr>
          <w:highlight w:val="none"/>
        </w:rPr>
      </w:r>
      <w:r>
        <w:rPr>
          <w:sz w:val="20"/>
          <w:szCs w:val="20"/>
          <w:highlight w:val="none"/>
        </w:rPr>
        <w:t xml:space="preserve">Wie lange wird es Zugang auf den OPAC geben?</w:t>
      </w:r>
      <w:r>
        <w:rPr>
          <w:highlight w:val="none"/>
        </w:rPr>
      </w:r>
      <w:r/>
    </w:p>
    <w:p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2">
    <w:name w:val="Heading 1"/>
    <w:basedOn w:val="828"/>
    <w:next w:val="828"/>
    <w:link w:val="6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3">
    <w:name w:val="Heading 1 Char"/>
    <w:link w:val="652"/>
    <w:uiPriority w:val="9"/>
    <w:rPr>
      <w:rFonts w:ascii="Arial" w:hAnsi="Arial" w:eastAsia="Arial" w:cs="Arial"/>
      <w:sz w:val="40"/>
      <w:szCs w:val="40"/>
    </w:rPr>
  </w:style>
  <w:style w:type="paragraph" w:styleId="654">
    <w:name w:val="Heading 2"/>
    <w:basedOn w:val="828"/>
    <w:next w:val="828"/>
    <w:link w:val="6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5">
    <w:name w:val="Heading 2 Char"/>
    <w:link w:val="654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link w:val="656"/>
    <w:uiPriority w:val="9"/>
    <w:rPr>
      <w:rFonts w:ascii="Arial" w:hAnsi="Arial" w:eastAsia="Arial" w:cs="Arial"/>
      <w:sz w:val="30"/>
      <w:szCs w:val="30"/>
    </w:rPr>
  </w:style>
  <w:style w:type="paragraph" w:styleId="658">
    <w:name w:val="Heading 4"/>
    <w:basedOn w:val="828"/>
    <w:next w:val="828"/>
    <w:link w:val="6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9">
    <w:name w:val="Heading 4 Char"/>
    <w:link w:val="658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8"/>
    <w:next w:val="828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8"/>
    <w:next w:val="828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8"/>
    <w:next w:val="828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8"/>
    <w:next w:val="828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8"/>
    <w:next w:val="828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Title"/>
    <w:basedOn w:val="828"/>
    <w:next w:val="828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link w:val="670"/>
    <w:uiPriority w:val="10"/>
    <w:rPr>
      <w:sz w:val="48"/>
      <w:szCs w:val="48"/>
    </w:rPr>
  </w:style>
  <w:style w:type="paragraph" w:styleId="672">
    <w:name w:val="Subtitle"/>
    <w:basedOn w:val="828"/>
    <w:next w:val="828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link w:val="672"/>
    <w:uiPriority w:val="11"/>
    <w:rPr>
      <w:sz w:val="24"/>
      <w:szCs w:val="24"/>
    </w:rPr>
  </w:style>
  <w:style w:type="paragraph" w:styleId="674">
    <w:name w:val="Quote"/>
    <w:basedOn w:val="828"/>
    <w:next w:val="828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8"/>
    <w:next w:val="828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8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link w:val="678"/>
    <w:uiPriority w:val="99"/>
  </w:style>
  <w:style w:type="paragraph" w:styleId="680">
    <w:name w:val="Footer"/>
    <w:basedOn w:val="828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link w:val="680"/>
    <w:uiPriority w:val="99"/>
  </w:style>
  <w:style w:type="paragraph" w:styleId="682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4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5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6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7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8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9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1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5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8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9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0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1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2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3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paragraph" w:styleId="831">
    <w:name w:val="No Spacing"/>
    <w:basedOn w:val="828"/>
    <w:uiPriority w:val="1"/>
    <w:qFormat/>
    <w:pPr>
      <w:spacing w:after="0" w:line="240" w:lineRule="auto"/>
    </w:pPr>
  </w:style>
  <w:style w:type="paragraph" w:styleId="832">
    <w:name w:val="List Paragraph"/>
    <w:basedOn w:val="828"/>
    <w:uiPriority w:val="34"/>
    <w:qFormat/>
    <w:pPr>
      <w:contextualSpacing/>
      <w:ind w:left="720"/>
    </w:pPr>
  </w:style>
  <w:style w:type="character" w:styleId="833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7</cp:revision>
  <dcterms:modified xsi:type="dcterms:W3CDTF">2023-07-13T04:21:21Z</dcterms:modified>
</cp:coreProperties>
</file>