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70. Sitzung FAG LG – 02-11-2021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36"/>
        </w:rPr>
        <w:t xml:space="preserve">Management Summary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200" w:before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Nachbereitung der Verbundkonferenz 2021</w:t>
      </w:r>
      <w:r/>
    </w:p>
    <w:p>
      <w:pPr>
        <w:ind w:left="0" w:right="0" w:firstLine="0"/>
        <w:spacing w:after="200" w:before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Die Breakout-Sessions sind auf sehr positive Resonanz gestoßen.</w:t>
      </w:r>
      <w:r/>
    </w:p>
    <w:p>
      <w:pPr>
        <w:ind w:left="0" w:right="0" w:firstLine="0"/>
        <w:spacing w:after="200" w:before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Die Kooperation der Facharbeitsgruppen sollte bei den Workshops, aber auch bei den ganzjährigen Arbeitsfeldern fortgeführt werden, wenn sich inhaltliche Überschneidungen ergeben, wie z. B. beim Thema </w:t>
      </w:r>
      <w:r>
        <w:rPr>
          <w:rFonts w:ascii="Arial" w:hAnsi="Arial" w:cs="Arial" w:eastAsia="Arial"/>
          <w:i/>
          <w:color w:val="000000"/>
          <w:sz w:val="22"/>
        </w:rPr>
        <w:t xml:space="preserve">LBS unter Linux</w:t>
      </w:r>
      <w:r>
        <w:rPr>
          <w:rFonts w:ascii="Arial" w:hAnsi="Arial" w:cs="Arial" w:eastAsia="Arial"/>
          <w:color w:val="000000"/>
          <w:sz w:val="22"/>
        </w:rPr>
        <w:t xml:space="preserve"> für die FAGs LG und TI.</w:t>
      </w:r>
      <w:r/>
    </w:p>
    <w:p>
      <w:pPr>
        <w:ind w:left="0" w:right="0" w:firstLine="0"/>
        <w:spacing w:after="200" w:before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Das virtuelle Format der VK ermöglicht die Teilnahme aller interessierten Beschäftigten. Es bietet sich an, die nächsten VKs als hybride Veranstaltungen durchzuführen, wenn wieder Präsenz möglich ist.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 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E-Rechnungen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Das nächste Treffen der AG eRechnung wird stattfinden, sobald eines der Projekte an GBV-Bibliotheken soweit fortgeschritten ist, dass daraus sinnvolle Empfehlungen für die Community abgeleitet werden können.  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In Niedersachsen arbeiten 15 Hochschulen im eRech20-Projekt daran, den Rechnungsworkflow der Hochschulverwaltung vollständig zu digitalisieren, und beraten intensiv über Details der Workflows und Schnittstellen zwischen SAP als Finanzsystem und dem Bibliothekssystem LBS4.</w:t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>
        <w:rPr>
          <w:rFonts w:ascii="Arial" w:hAnsi="Arial" w:cs="Arial" w:eastAsia="Arial"/>
          <w:b/>
          <w:color w:val="000000"/>
          <w:sz w:val="22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  <w:highlight w:val="none"/>
        </w:rPr>
      </w:r>
      <w:r>
        <w:rPr>
          <w:rFonts w:ascii="Arial" w:hAnsi="Arial" w:cs="Arial" w:eastAsia="Arial"/>
          <w:color w:val="000000"/>
          <w:sz w:val="22"/>
          <w:highlight w:val="none"/>
        </w:rPr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LBS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Der LBS4 Linux-Umstieg hat begonnen. Die Testsysteme von 4 Bibliotheken sind mit LBS 2.12.3 (Linux) und der OPAC-Version 2.13 ausgestattet. Der produktive Umstieg ist jeweils nach 6 Wochen vorgesehen</w:t>
      </w:r>
      <w:r>
        <w:rPr>
          <w:rFonts w:ascii="Calibri" w:hAnsi="Calibri" w:cs="Calibri" w:eastAsia="Calibri"/>
          <w:color w:val="000000"/>
          <w:sz w:val="24"/>
        </w:rPr>
        <w:t xml:space="preserve">. </w:t>
      </w:r>
      <w:r>
        <w:rPr>
          <w:rFonts w:ascii="Arial" w:hAnsi="Arial" w:cs="Arial" w:eastAsia="Arial"/>
          <w:color w:val="000000"/>
          <w:sz w:val="22"/>
        </w:rPr>
        <w:t xml:space="preserve">Bis Ende 2022 soll die Linux-Migration abgeschlossen sein.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Der nächste LBS-Workshop ist vom 17.-18.5.2021 als Präsenzveranstaltung in Göttingen geplant. Er wird von der VZG organisiert und der Linux-Migration mit Umstiegsszenario, Erfahrungsberichten und Best-Practice-Lösungen gewidmet sein. 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FOLIO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Die ERM-Implementierung in Hamburg (4 Bibliotheken) und Hildesheim mit Testbetrieb und Schulungen ist erfolgt.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Die Entwicklung der FOLIO2CBS-Schnittstelle ist in Arbeit.</w:t>
      </w:r>
      <w:r/>
    </w:p>
    <w:p>
      <w:pPr>
        <w:ind w:left="0" w:right="0" w:firstLine="0"/>
        <w:spacing w:after="20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Auf der Sitzung der FOLIO-Steuerungsgruppe der Verbundleitung wurde die Gründung einer GBV AG FOLIO mit Mitgliedern der Anwenderbibliotheken beschlossen. Ein erstes Treffen fand am 4.11.2021 statt.</w:t>
      </w:r>
      <w:r/>
      <w:r>
        <w:rPr>
          <w:rFonts w:ascii="Arial" w:hAnsi="Arial" w:cs="Arial" w:eastAsia="Arial"/>
          <w:color w:val="FF0000"/>
          <w:sz w:val="22"/>
        </w:rPr>
        <w:t xml:space="preserve"> 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4</cp:revision>
  <dcterms:modified xsi:type="dcterms:W3CDTF">2021-11-12T13:35:18Z</dcterms:modified>
</cp:coreProperties>
</file>