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26"/>
      </w:pPr>
      <w:r/>
      <w:r/>
    </w:p>
    <w:p>
      <w:pPr>
        <w:pStyle w:val="426"/>
      </w:pPr>
      <w:r>
        <w:t xml:space="preserve">Ideensammlung für eine Präsentation auf der VK 2021 </w:t>
      </w:r>
      <w:r>
        <w:br/>
        <w:t xml:space="preserve">“Die Macht der Improvisation”</w:t>
      </w:r>
      <w:r/>
    </w:p>
    <w:p>
      <w:r>
        <w:t xml:space="preserve">Beispiele für den Einsatz neuer Tools und die improvisierte Anpassung von Geschäftsgängen</w:t>
      </w:r>
      <w:r/>
    </w:p>
    <w:p>
      <w:r/>
      <w:r/>
    </w:p>
    <w:p>
      <w:r>
        <w:t xml:space="preserve">Allgemeines, FAG übergreifendes Beispiel: Unkompliziertes Ermöglichen von Home-Office</w:t>
      </w:r>
      <w:r/>
    </w:p>
    <w:p>
      <w:r/>
      <w:r/>
    </w:p>
    <w:p>
      <w:r>
        <w:t xml:space="preserve">Hildesheim: Einführung von Rocket.Chat (via GWDG) für die interne Kommunikation. Hat die Kommunikation intern deutlich verbessert, war sehr wichtig für den informellen Austausch im Home-Office</w:t>
      </w:r>
      <w:r/>
    </w:p>
    <w:p>
      <w:r>
        <w:t xml:space="preserve">Hildesheim: Nutzung einer Software zur Reservierung von Gruppenarbeitsräumen für die Reservierung von Einzelarbeitsplätzen. Die Software wurde etwas erweitert, um automatisch Anwesenheitslisten für die Kontaktverfolgung zu erstellen.</w:t>
      </w:r>
      <w:r/>
    </w:p>
    <w:p>
      <w:r>
        <w:t xml:space="preserve">Hildesheim: Fernleiheguthaben kann jetzt per Mail oder Telefon aufgebucht werden, steht dann als Forderung im OUS-Nutzerkonto. Vorher war das nur vor Ort in Bar möglich.</w:t>
      </w:r>
      <w:r/>
    </w:p>
    <w:p>
      <w:r>
        <w:t xml:space="preserve">Hildesheim: Viele Schulungsinhalte wurden digitalisiert, u.a. in Form von Video-Tutorials für die ein eigener YouTube-Kanal geschaffen wurde.</w:t>
      </w:r>
      <w:r/>
    </w:p>
    <w:p>
      <w:r>
        <w:t xml:space="preserve">Hildesheim: Die (nahezu) flächendeckende Ausstattung mit Headsets und Videokameras ermöglicht nicht nur Home-Office sondern auch die problemlose Teilnahme an (oder das Anbieten von) Online-Veranstaltungen.</w:t>
      </w:r>
      <w:r/>
    </w:p>
    <w:p>
      <w:r/>
      <w:r/>
    </w:p>
    <w:p>
      <w:r>
        <w:t xml:space="preserve">Göttingen: ebenfalls Nutzung von Rocket Chat über die GWDG. Nutzung flaute im Lauf der Zeit ab, es wird aber für bestimmte Kanäle weiterhin verwendet.</w:t>
      </w:r>
      <w:r/>
    </w:p>
    <w:p>
      <w:r>
        <w:t xml:space="preserve">Göttingen: Videokonferenztools Big Blue Button (vorrangig) und Zoom (über die GWDG). Beides weiterhin im Einsatz.</w:t>
      </w:r>
      <w:r/>
    </w:p>
    <w:p>
      <w:r>
        <w:t xml:space="preserve">Göttingen: deutliche Erweiterung der VPN-Zugänge</w:t>
      </w:r>
      <w:r/>
    </w:p>
    <w:p>
      <w:r>
        <w:t xml:space="preserve">Göttingen: mehr E-Books und weniger Print-Bücher erworben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Göttingen Erwerbung / Katalogisierung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 </w:t>
      </w:r>
      <w:r/>
    </w:p>
    <w:p>
      <w:pPr>
        <w:numPr>
          <w:ilvl w:val="0"/>
          <w:numId w:val="5"/>
        </w:num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Durchführung von Katalogisierungs- und Exemplardatensatzschulungen für Teilbibliotheken über BBB</w:t>
      </w:r>
      <w:r/>
    </w:p>
    <w:p>
      <w:pPr>
        <w:numPr>
          <w:ilvl w:val="0"/>
          <w:numId w:val="5"/>
        </w:numPr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Umbau des Webformulars „Bücherwunsch für Studierende“ für E-Book-Wünsche  der Lehrenden (circa Mitte März 2020 – Juli 2020). Dadurch Eingang aller Wünsche über ein E-Mail-Postfach. Bereitstellung eines zentralen Budgets zur unkomplizierten Bestellung und s</w:t>
      </w:r>
      <w:r>
        <w:rPr>
          <w:rFonts w:ascii="Arial" w:hAnsi="Arial" w:cs="Arial" w:eastAsia="Arial"/>
          <w:color w:val="1F497D"/>
          <w:sz w:val="22"/>
        </w:rPr>
        <w:t xml:space="preserve">chnellen Bereitstellung von E-Books für die Lehre der Universität Göttingen.</w:t>
      </w:r>
      <w:r/>
    </w:p>
    <w:p>
      <w:r/>
      <w:r/>
    </w:p>
    <w:p>
      <w:pPr>
        <w:ind w:left="0" w:firstLin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Göttingen: </w:t>
      </w:r>
      <w:r>
        <w:t xml:space="preserve">Scan&amp;Deliver: komplett neuer On-Demand-Dienst mit Bestellformular für ad-hoc-Digitalisierung im Rahmen der VG-Wort-Konzession bei der elektronischen Dokumentlieferung, </w:t>
      </w:r>
      <w:r>
        <w:t xml:space="preserve">als Alternative zur eingeschränkten Ausleihe für Studierenden und Unimitarbeiter*innen</w:t>
      </w:r>
      <w:r/>
    </w:p>
    <w:p>
      <w:pPr>
        <w:ind w:left="0" w:firstLin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Göttingen: </w:t>
      </w:r>
      <w:r>
        <w:t xml:space="preserve">Anpassung OPAC/Katalog, um flexibel Bestellmöglichkeiten (physische Ausleihe) auszublenden und Ersatzdienste wie Scan&amp;Deliver anzuzeigen/einzubinden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Göttingen: </w:t>
      </w:r>
      <w:r>
        <w:t xml:space="preserve">Neu-Parametrierung des Raumbelegungssystems: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Von Buchung im 15-Minuten-Takt auf 1-Tages-Takt. </w:t>
      </w:r>
      <w:r>
        <w:t xml:space="preserve">Später 1,5 Stunden Pause zwischen zwei Reservierungen zum Lüften anstatt vorher 15 Min.; </w:t>
      </w:r>
      <w:r>
        <w:t xml:space="preserve">Automatische Besetzung von nur 1 Person bei Gruppenarbeit; </w:t>
      </w:r>
      <w:r>
        <w:t xml:space="preserve">Vorausbuchung von 40 Tagen auf 7 heruntergesetzt, um kurzfristig reagieren und ändern zu können ….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t xml:space="preserve">Göttingen: 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Einführung von „Darf ich rein“ als Registrierungsapp für den Zutritt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Einführung von Onlinesprechstunden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Umstellung von Schulungsangeboten auf Onlineformate (Webinare und Selbstlerntools)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Standorte präsentieren sich in kurzen Videos als Ersatz für Führungen vor Ort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Laufende Anpassung der Ausleihbedingungen im LBS (z. B. offene Standorte bestellbar gemacht, Thekenwahl den jeweiligen Öffnungen angepasst, Präsenzbestände ausleihbar gemacht, Leihfristen und Mahnläufe immer wieder den verschiedenen Schließungen/Öffnungen </w:t>
      </w:r>
      <w:r>
        <w:t xml:space="preserve">angepasst</w:t>
      </w:r>
      <w:r/>
    </w:p>
    <w:p>
      <w:pPr>
        <w:pStyle w:val="598"/>
        <w:numPr>
          <w:ilvl w:val="0"/>
          <w:numId w:val="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Einsatz von Selfservices in der Ausleihe verstärkt (Ausleihe und Rücknahme)</w:t>
      </w:r>
      <w:r/>
    </w:p>
    <w:p>
      <w:pPr>
        <w:ind w:left="0" w:firstLin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r/>
      <w:r/>
    </w:p>
    <w:p>
      <w:r/>
      <w:r/>
    </w:p>
    <w:p>
      <w:r>
        <w:t xml:space="preserve">Jade Hochschule: Videokonferenztools Zoom und WebEx (beides intensiv genutzt), Chatfunktion von WebEx; Nutzung eines Padlets als Dienstplan</w:t>
      </w:r>
      <w:r/>
    </w:p>
    <w:p>
      <w:r>
        <w:t xml:space="preserve">Jade Hochschule: weitaus stärkere Nutzung von Moodle (für alle Lehrveranstaltungen, jetzt für Prüfungen)</w:t>
      </w:r>
      <w:r/>
    </w:p>
    <w:p>
      <w:r>
        <w:t xml:space="preserve">Jade Hochschule: im LBS: Mahnläufe ausgesetzt, Ausleihfristen auf einen späteren Zeitpunkt per SQL gelegt</w:t>
      </w:r>
      <w:r/>
    </w:p>
    <w:p>
      <w:r/>
      <w:r/>
    </w:p>
    <w:p>
      <w:r/>
      <w:r/>
    </w:p>
    <w:p>
      <w:r>
        <w:t xml:space="preserve">SuUB Bremen: Verbuchung von Arbeitsplätzen und live-Anzeige der Belegung durch einen Ampel in der Homepage der Bibliothek </w:t>
      </w:r>
      <w:r/>
    </w:p>
    <w:p>
      <w:r>
        <w:t xml:space="preserve">SuUB Bremen: Erweiterung der Nutzerkontaktmöglichkeiten im Discovery System beim E-Books und andere elektronische Medien, mit der Folge, wenn Zugang nicht funktioniert, wir setzen eine Bestellung bzw. Reklamation darauf - Beispiel: </w:t>
      </w:r>
      <w:r>
        <w:t xml:space="preserve">https://suche.suub.uni-bremen.de/peid=B102853686 oder </w:t>
      </w:r>
      <w:r>
        <w:t xml:space="preserve">https://suche.suub.uni-bremen.de/peid=B66505463 (Zu den Anfragen über das Discovery System ELIB: </w:t>
      </w:r>
      <w:r>
        <w:t xml:space="preserve">El</w:t>
      </w:r>
      <w:r>
        <w:t xml:space="preserve">lis, Rachel, Betancort Cabrera, Noemi and Kabitzke, Katrin. "Sie sind meine Heldin des Tages – Anfragen aus dem Suchsystem heraus in der SuUB Bremen" Bibliothek Forschung und Praxis, vol. 43, no. 3, 2019, pp. 399-405. https://doi.org/10.1515/bfp-2019-2075)</w:t>
      </w:r>
      <w:r/>
    </w:p>
    <w:p>
      <w:r>
        <w:t xml:space="preserve">SuUB Bremen: Kopienlieferservice (per Post direkt an Nutzer) von Aufsätzen in Zeitschriften oder Büchern, die wir gedruckt haben, für Angehörige der Universität - </w:t>
      </w:r>
      <w:r>
        <w:t xml:space="preserve">https://www.suub.uni-bremen.de/infos/magazinbestellungen-2/</w:t>
      </w:r>
      <w:r>
        <w:t xml:space="preserve"> </w:t>
      </w:r>
      <w:r/>
    </w:p>
    <w:p>
      <w:pPr>
        <w:spacing w:after="0" w:afterAutospacing="0"/>
      </w:pPr>
      <w:r>
        <w:t xml:space="preserve">SuUB Bremen: </w:t>
      </w:r>
      <w:r>
        <w:t xml:space="preserve">Erwerbung angepasst -  mehr E-Books und weniger Print-Bücher erworben</w:t>
      </w:r>
      <w:r/>
    </w:p>
    <w:p>
      <w:pPr>
        <w:spacing w:after="0" w:afterAutospacing="0"/>
      </w:pPr>
      <w:r>
        <w:t xml:space="preserve">Direktlieferung an die Hochschullehrenden </w:t>
      </w:r>
      <w:r/>
    </w:p>
    <w:p>
      <w:pPr>
        <w:spacing w:after="0" w:afterAutospacing="0"/>
      </w:pPr>
      <w:r>
        <w:t xml:space="preserve">Bücher wurden direkt an Nutzer versandt</w:t>
      </w:r>
      <w:r/>
    </w:p>
    <w:p>
      <w:pPr>
        <w:spacing w:after="0" w:afterAutospacing="0"/>
      </w:pPr>
      <w:r>
        <w:t xml:space="preserve">Erweiterung der VPN-Zugänge (über die Uni)</w:t>
      </w:r>
      <w:r/>
    </w:p>
    <w:p>
      <w:pPr>
        <w:spacing w:after="0" w:afterAutospacing="0"/>
      </w:pPr>
      <w:r>
        <w:t xml:space="preserve">Umstellung von Schulungsangeboten auf Onlineformate</w:t>
      </w:r>
      <w:r/>
    </w:p>
    <w:p>
      <w:pPr>
        <w:spacing w:after="0" w:afterAutospacing="0"/>
      </w:pPr>
      <w:r>
        <w:t xml:space="preserve">Einführung von Onlinesprechstunden</w:t>
      </w:r>
      <w:r/>
    </w:p>
    <w:p>
      <w:pPr>
        <w:spacing w:after="0" w:afterAutospacing="0"/>
      </w:pPr>
      <w:r>
        <w:t xml:space="preserve">Erstellung von Videotutorials</w:t>
      </w:r>
      <w:r/>
    </w:p>
    <w:p>
      <w:pPr>
        <w:spacing w:after="0" w:afterAutospacing="0"/>
      </w:pPr>
      <w:r>
        <w:t xml:space="preserve">Videokonferenztools Zoom</w:t>
      </w:r>
      <w:r/>
    </w:p>
    <w:p>
      <w:pPr>
        <w:spacing w:after="0" w:afterAutospacing="0"/>
      </w:pPr>
      <w:r>
        <w:t xml:space="preserve">Mahnläufe zeitweise ausgesetzt</w:t>
      </w:r>
      <w:r/>
    </w:p>
    <w:p>
      <w:pPr>
        <w:spacing w:after="0" w:afterAutospacing="0"/>
      </w:pPr>
      <w:r>
        <w:t xml:space="preserve">Corona-Zusatzangebote von Verlagen in Katalog integriert</w:t>
      </w:r>
      <w:r/>
    </w:p>
    <w:p>
      <w:pPr>
        <w:spacing w:after="0" w:afterAutospacing="0"/>
      </w:pPr>
      <w:r>
        <w:t xml:space="preserve">unkompliziertes Ermöglichen von Home-Office (intern)</w:t>
      </w:r>
      <w:r/>
    </w:p>
    <w:p>
      <w:pPr>
        <w:spacing w:after="0" w:afterAutospacing="0"/>
      </w:pPr>
      <w:r>
        <w:t xml:space="preserve">Bewegte Pause auch virtuell angeboten</w:t>
      </w:r>
      <w:r/>
    </w:p>
    <w:p>
      <w:pPr>
        <w:spacing w:after="0" w:afterAutospacing="0"/>
      </w:pPr>
      <w:r/>
      <w:r/>
    </w:p>
    <w:p>
      <w:pPr>
        <w:spacing w:after="0" w:afterAutospacing="0"/>
      </w:pPr>
      <w:r>
        <w:t xml:space="preserve">SuUB Bremen - Weitere Infos unter: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Bodem, Claudia, Ellis, Rachel and Kabitzke, Katrin. "Wenn das Leben Dir Zitronen gibt … Pandemie als Chance?" 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Bibliotheksdienst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, vol. 55, no. 8, 2021, pp. 541-555. </w:t>
      </w:r>
      <w:hyperlink r:id="rId8" w:tooltip="https://doi.org/10.1515/bd-2021-0079" w:history="1">
        <w:r>
          <w:rPr>
            <w:rStyle w:val="580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https://doi.org/10.1515/bd-2021-0079</w:t>
        </w:r>
      </w:hyperlink>
      <w:r/>
      <w:r/>
    </w:p>
    <w:p>
      <w:r/>
      <w:r/>
    </w:p>
    <w:p>
      <w:r>
        <w:t xml:space="preserve">SBB: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die wichtigsten Auswirkungen der Maßnahmen im Zusammenhang mit der Corona-Epidemie auf den Ausleihbetrieb und auf das OUS und den OPAC waren:</w:t>
      </w:r>
      <w:r>
        <w:rPr>
          <w:rFonts w:ascii="Arial" w:hAnsi="Arial" w:cs="Arial" w:eastAsia="Arial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 </w:t>
      </w:r>
      <w:r>
        <w:rPr>
          <w:rFonts w:ascii="Arial" w:hAnsi="Arial" w:cs="Arial" w:eastAsia="Arial"/>
        </w:rPr>
      </w:r>
      <w:r/>
    </w:p>
    <w:p>
      <w:pPr>
        <w:numPr>
          <w:ilvl w:val="0"/>
          <w:numId w:val="6"/>
        </w:numPr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Beschleunigte Einführung der Online Anmeldung.</w:t>
      </w:r>
      <w:r>
        <w:rPr>
          <w:rFonts w:ascii="Arial" w:hAnsi="Arial" w:cs="Arial" w:eastAsia="Arial"/>
        </w:rPr>
      </w:r>
      <w:r/>
    </w:p>
    <w:p>
      <w:pPr>
        <w:ind w:left="720" w:right="0" w:firstLine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Die Corona-Maßnahmen bewirkten dabei aber lediglich die Beschleunigung; geplant war die Online-Anmeldung ohnehin.</w:t>
      </w:r>
      <w:r>
        <w:rPr>
          <w:rFonts w:ascii="Arial" w:hAnsi="Arial" w:cs="Arial" w:eastAsia="Arial"/>
        </w:rPr>
      </w:r>
      <w:r/>
    </w:p>
    <w:p>
      <w:pPr>
        <w:numPr>
          <w:ilvl w:val="0"/>
          <w:numId w:val="6"/>
        </w:numPr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Einführung einer Terminbuchung für die Abholung von Medien und den Lesesaalbesuch</w:t>
      </w:r>
      <w:r>
        <w:rPr>
          <w:rFonts w:ascii="Arial" w:hAnsi="Arial" w:cs="Arial" w:eastAsia="Arial"/>
        </w:rPr>
      </w:r>
      <w:r/>
    </w:p>
    <w:p>
      <w:pPr>
        <w:ind w:left="720" w:right="0" w:firstLine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Die Terminbuchung wurde von IDM 3 entwickelt und implementiert. IDM 2.1 hatte dadurch keine Aufwände.</w:t>
      </w:r>
      <w:r>
        <w:rPr>
          <w:rFonts w:ascii="Arial" w:hAnsi="Arial" w:cs="Arial" w:eastAsia="Arial"/>
        </w:rPr>
      </w:r>
      <w:r/>
    </w:p>
    <w:p>
      <w:pPr>
        <w:numPr>
          <w:ilvl w:val="0"/>
          <w:numId w:val="6"/>
        </w:numPr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Maßnahmen im Zusammenhang mit der Schließung der Häuser</w:t>
      </w:r>
      <w:r>
        <w:rPr>
          <w:rFonts w:ascii="Arial" w:hAnsi="Arial" w:cs="Arial" w:eastAsia="Arial"/>
        </w:rPr>
      </w:r>
      <w:r/>
    </w:p>
    <w:p>
      <w:pPr>
        <w:numPr>
          <w:ilvl w:val="1"/>
          <w:numId w:val="6"/>
        </w:numPr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Im OUS Anpassung der Modalitäten für die Verlängerung von Leihfristen und Mahnungen, Standortsperrungen, Änderung von OPAC- und Standardtheken, Kürzung der Bestellzahlen, Lesesäle sperren und wieder entsperren</w:t>
      </w:r>
      <w:r>
        <w:rPr>
          <w:rFonts w:ascii="Arial" w:hAnsi="Arial" w:cs="Arial" w:eastAsia="Arial"/>
        </w:rPr>
      </w:r>
      <w:r/>
    </w:p>
    <w:p>
      <w:pPr>
        <w:ind w:left="720" w:right="0" w:firstLine="696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Die Anpassungen wurden im OUS (Test- und Produktivsystem) vorgenommen </w:t>
      </w:r>
      <w:r>
        <w:rPr>
          <w:rFonts w:ascii="Arial" w:hAnsi="Arial" w:cs="Arial" w:eastAsia="Arial"/>
        </w:rPr>
      </w:r>
      <w:r/>
    </w:p>
    <w:p>
      <w:pPr>
        <w:ind w:left="720" w:right="0" w:firstLine="696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(Parametertabellen); dazu bedarf es keiner weiteren Tools.</w:t>
      </w:r>
      <w:r>
        <w:rPr>
          <w:rFonts w:ascii="Arial" w:hAnsi="Arial" w:cs="Arial" w:eastAsia="Arial"/>
        </w:rPr>
      </w:r>
      <w:r/>
    </w:p>
    <w:p>
      <w:pPr>
        <w:ind w:left="720" w:right="0" w:firstLine="696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Mit der Normalisierung des Ausleihbetriebs wurden/werden diese Anpassungen </w:t>
      </w:r>
      <w:r/>
    </w:p>
    <w:p>
      <w:pPr>
        <w:ind w:left="720" w:right="0" w:firstLine="696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wieder zurückgenommen.</w:t>
      </w:r>
      <w:r>
        <w:rPr>
          <w:rFonts w:ascii="Arial" w:hAnsi="Arial" w:cs="Arial" w:eastAsia="Arial"/>
        </w:rPr>
      </w:r>
      <w:r/>
    </w:p>
    <w:p>
      <w:pPr>
        <w:numPr>
          <w:ilvl w:val="1"/>
          <w:numId w:val="6"/>
        </w:numPr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Änderung von Ausschriften im OPAC</w:t>
      </w:r>
      <w:r>
        <w:rPr>
          <w:rFonts w:ascii="Arial" w:hAnsi="Arial" w:cs="Arial" w:eastAsia="Arial"/>
        </w:rPr>
      </w:r>
      <w:r/>
    </w:p>
    <w:p>
      <w:pPr>
        <w:ind w:left="1440" w:right="0" w:firstLine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Die Anpassungen wurden im LBS (Test- und Produktivsystem) vorgenommen; dazu bedarf es keiner weiteren Tools.</w:t>
      </w:r>
      <w:r>
        <w:rPr>
          <w:rFonts w:ascii="Arial" w:hAnsi="Arial" w:cs="Arial" w:eastAsia="Arial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                        Mit der Normalisierung des Ausleihbetriebs wurden/werden diese Anpassungen   </w:t>
      </w:r>
      <w:r>
        <w:rPr>
          <w:rFonts w:ascii="Arial" w:hAnsi="Arial" w:cs="Arial" w:eastAsia="Arial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                        wieder zurückgenommen.</w:t>
      </w:r>
      <w:r>
        <w:rPr>
          <w:rFonts w:ascii="Arial" w:hAnsi="Arial" w:cs="Arial" w:eastAsia="Arial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</w:r>
      <w:r/>
    </w:p>
    <w:p>
      <w:pPr>
        <w:pStyle w:val="598"/>
        <w:numPr>
          <w:ilvl w:val="0"/>
          <w:numId w:val="12"/>
        </w:numPr>
        <w:ind w:right="0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  <w:t xml:space="preserve">Virtuelles Angebot der “Wissenswerkstatt” eingerichtet (eigentlich Präsenzveranstaltung)</w:t>
      </w:r>
      <w:r>
        <w:rPr>
          <w:rFonts w:ascii="Arial" w:hAnsi="Arial" w:cs="Arial" w:eastAsia="Arial"/>
          <w:color w:val="1F497D"/>
          <w:sz w:val="22"/>
        </w:rPr>
      </w:r>
      <w:r/>
    </w:p>
    <w:p>
      <w:pPr>
        <w:ind w:left="709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</w:r>
      <w:hyperlink r:id="rId9" w:tooltip="https://staatsbibliothek-berlin.de/service/wissenswerkstatt" w:history="1">
        <w:r>
          <w:rPr>
            <w:rStyle w:val="580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Wissenswerkstatt | Beratung und Workshops | Staatsbibliothek zu Berlin (staatsbibliothek-berlin.de)</w:t>
        </w:r>
      </w:hyperlink>
      <w:r>
        <w:rPr>
          <w:rFonts w:ascii="Arial" w:hAnsi="Arial" w:cs="Arial" w:eastAsia="Arial"/>
          <w:color w:val="1F497D"/>
          <w:sz w:val="22"/>
        </w:rPr>
      </w:r>
      <w:r/>
    </w:p>
    <w:p>
      <w:pPr>
        <w:ind w:left="709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</w:r>
      <w:r>
        <w:rPr>
          <w:rFonts w:ascii="Arial" w:hAnsi="Arial" w:cs="Arial" w:eastAsia="Arial"/>
          <w:color w:val="1F497D"/>
          <w:sz w:val="22"/>
        </w:rPr>
      </w:r>
      <w:r/>
    </w:p>
    <w:p>
      <w:pPr>
        <w:ind w:left="709" w:right="0" w:firstLine="0"/>
        <w:spacing w:after="0" w:before="0"/>
        <w:rPr>
          <w:rFonts w:ascii="Arial" w:hAnsi="Arial" w:cs="Arial" w:eastAsia="Arial"/>
          <w:color w:val="1F497D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</w:r>
      <w:r>
        <w:rPr>
          <w:rFonts w:ascii="Arial" w:hAnsi="Arial" w:cs="Arial" w:eastAsia="Arial"/>
          <w:color w:val="1F497D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auto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auto"/>
          <w:sz w:val="22"/>
        </w:rPr>
        <w:t xml:space="preserve">ZBW KIel/Hamburg</w:t>
      </w:r>
      <w:r>
        <w:rPr>
          <w:rFonts w:ascii="Arial" w:hAnsi="Arial" w:cs="Arial" w:eastAsia="Arial"/>
          <w:color w:val="auto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auto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auto"/>
          <w:sz w:val="22"/>
        </w:rPr>
        <w:t xml:space="preserve">interne Regelungen:</w:t>
      </w:r>
      <w:r>
        <w:rPr>
          <w:rFonts w:ascii="Arial" w:hAnsi="Arial" w:cs="Arial" w:eastAsia="Arial"/>
          <w:color w:val="auto"/>
          <w:sz w:val="22"/>
        </w:rPr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Allgemein unkompliziertes Ermöglichen von Home-Office:</w:t>
        <w:br/>
        <w:t xml:space="preserve">Technik:  bestehende Lizenzen Citrix/VPN wurden aufgestockt, Leih-Laptops bzw.  Umstellung der Standardhardware von PC auf Laptop, flächendeckende  Ausstattung mit Headsets und Webcams</w:t>
        <w:br/>
        <w:t xml:space="preserve">Verwaltung: Sond</w:t>
      </w:r>
      <w:r>
        <w:t xml:space="preserve">erregelungen ausserhalb der bestehenden Dienstvereinbarung zu Arbeitszeit  (verlängerter Gleitzeitrahmen) und Telearbeit; virtuelle  Vorstellungsgespräche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Virtuelle Einarbeitung neuer Kolleg:innen, virtuelle Ausbildung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für  interne Kommunikation: Einführung zunächst von Rocket-Chat + Zoom für  Video-Meetings, jetzt flächendeckend Webex (Chat und Video-Meetings) +  weitere Nutzung Zoom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interne Kommunikation in den  Benutzungsdiensten läuft größtenteils über verschiedene  Webex-Chatgruppen und das Wiki; interne Kommunikation via Mail findet  kaum noch statt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Viele interne Veranstaltungen per Web  (Team-/Gruppen-/Abteilungs-Treffen, sogar  Verabschiedungen/Feiern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Für die soziale Interaktion:  spezielle Austauschplattform im internen Wiki, Angebote zu gemeinsamen  virtuellen Pausen und "Sporteinheiten" (10 Minuten Bewegung); eigene,  virtuelle Kaffeepause in der Abteilung Benutzungsdienste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Anpassung der Arbeitsverteilung (Dienstpläne für Tätigkeiten vor Ort)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Aufsplittung der einzelnen Arbeitsabläufe in den Benutzungsdienste; 80 bis 90% der Tätigkeiten finden im Homeoffice statt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Verstärkte Nutzung der Online-Ausgaben für die Katalogisierung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In  Absprache mit der Benutzung wurden großzügigere Regelungen für die  Mitnahme von Print-Ressourcen, die im Home-Office bearbeitet werden,  getroffen. (Material, das angefordert wird, muss nicht am nächsten Tag  vor Ort sein, sondern innerhalb von einer </w:t>
      </w:r>
      <w:r>
        <w:t xml:space="preserve">Woche.)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Bestellunterlagen (Bibliografien, Verlagsprospekte) werden nur noch in elektronischer Form bearbeitet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Für  PND-Bearbeitung von Autoren von Aufsätzen aus Sammelwerken wird die  parallele Online-Ausgabe herangezogen, auch wenn die Print-Ausgaben der  Aufsätze erfasst werden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Während der "harten Lockdown-Phase"  wurden vor Ort ACQ-Mahnungen u.ä. Material eingescannt, um Wege in die  Bibliothek zu vermeiden. </w:t>
      </w:r>
      <w:r/>
    </w:p>
    <w:p>
      <w:pPr>
        <w:pStyle w:val="598"/>
        <w:numPr>
          <w:ilvl w:val="0"/>
          <w:numId w:val="13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 vorübergehende Änderung von Geschäftsabläufen (uW-Erfassung  aus Sammelwerken)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auto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auto"/>
          <w:sz w:val="22"/>
        </w:rPr>
      </w:r>
      <w:r>
        <w:rPr>
          <w:rFonts w:ascii="Arial" w:hAnsi="Arial" w:cs="Arial" w:eastAsia="Arial"/>
          <w:color w:val="auto"/>
          <w:sz w:val="22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auto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auto"/>
          <w:sz w:val="22"/>
        </w:rPr>
        <w:t xml:space="preserve">Regelungen für Nutzer:innen:</w:t>
      </w:r>
      <w:r>
        <w:rPr>
          <w:rFonts w:ascii="Arial" w:hAnsi="Arial" w:cs="Arial" w:eastAsia="Arial"/>
          <w:color w:val="auto"/>
          <w:sz w:val="22"/>
        </w:rPr>
      </w:r>
      <w:r/>
    </w:p>
    <w:p>
      <w:pPr>
        <w:pStyle w:val="598"/>
        <w:numPr>
          <w:ilvl w:val="0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Digitale Angebote und Öffnungszeiten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digital durchgängig erreichbar via Chat, Mail, Telefon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starker Anstieg der Chatanfragen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Angebot der Online-Seminare wurde ausgeweitet, weitere Themen ergänzt, Teilnahmezahlen sind gestiegen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Bibliotheksführungen online durchgeführt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"Rent a librarian" als zusätzliche Videosprechstunde, ergänzend zu Chat, eingeführt. Die Nachfrage war gering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Möglichkeit eines persönlichen Beratungstermin mit den wiss. Referenten per Videokonferenz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digitale Lange Nacht der Hausarbeiten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Dreh eines Videos "Lernort Kiel"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Vorlesungen zum Thema "Wissenschaftlichen Arbeiten" für die CAU wurden in synchrone, digitale Angebote umgewandelt</w:t>
      </w:r>
      <w:r/>
    </w:p>
    <w:p>
      <w:pPr>
        <w:pStyle w:val="598"/>
        <w:numPr>
          <w:ilvl w:val="0"/>
          <w:numId w:val="14"/>
        </w:numPr>
        <w:ind w:right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 Vor-Ort-Nutzer:innen einen kostenpflichtigen Versand der Bücher angeboten. Dieser wurde und wird gut angenommen.</w:t>
      </w:r>
      <w:r/>
    </w:p>
    <w:p>
      <w:pPr>
        <w:pStyle w:val="598"/>
        <w:numPr>
          <w:ilvl w:val="0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Aussetzung der Mahngebühren, Leihfristen im Lockdown</w:t>
      </w:r>
      <w:r/>
    </w:p>
    <w:p>
      <w:pPr>
        <w:pStyle w:val="598"/>
        <w:numPr>
          <w:ilvl w:val="0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Aufsätze  werden für Nutzer:innen eingescannt und können abgeholt werden; kein  längerer Aufenthalt vor Ort durch Scannen, Kopieren notwendig; später  digitale Verfügbarmachungüber elektronischen Lesesaal</w:t>
      </w:r>
      <w:r/>
    </w:p>
    <w:p>
      <w:pPr>
        <w:pStyle w:val="598"/>
        <w:numPr>
          <w:ilvl w:val="1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Änderung der internen Abläufe.</w:t>
      </w:r>
      <w:r/>
    </w:p>
    <w:p>
      <w:pPr>
        <w:pStyle w:val="598"/>
        <w:numPr>
          <w:ilvl w:val="0"/>
          <w:numId w:val="14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weitere  Online-Tools wurden getestet und in das Angebot der Online-Services für  Nutzer:innen integriert, wie z.B. Nexboard, cryptpad, zoom</w:t>
      </w:r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right="0"/>
        <w:spacing w:after="0" w:before="0"/>
        <w:rPr>
          <w:b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/>
        </w:rPr>
        <w:t xml:space="preserve">IAI-Berlin:</w:t>
      </w:r>
      <w:r>
        <w:rPr>
          <w:b/>
        </w:rPr>
      </w:r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Ausstattung aller Kolleg*innen mit Dienstnotebooks, Kameras und Headsets</w:t>
      </w:r>
      <w:r/>
      <w:r/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Etablierung der Videokonferenzen mit der zahlreichen Beschaffung von Gastgeberlizenzen (WebEx)</w:t>
      </w:r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Einführung einer Instant-Messanger-Software zu schnellen Kommunikation unabhängig vom Zugang zu dienstlichen E-Mails</w:t>
      </w:r>
      <w:r>
        <w:t xml:space="preserve"> (erst Slack, mittlerweil WebEx Teams)</w:t>
      </w:r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Anpassung des OPACs auf die jeweilige Situation</w:t>
      </w:r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Einführung eines elektronischen Reservierungssystems für die Plätze im Lesesaal</w:t>
      </w:r>
      <w:r/>
    </w:p>
    <w:p>
      <w:pPr>
        <w:pStyle w:val="598"/>
        <w:numPr>
          <w:ilvl w:val="0"/>
          <w:numId w:val="15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Virtuelle Einarbeitung neuer Kolleg:innen, virtuelle Ausbildung</w:t>
      </w:r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SMB/Kunstbibliothek Berlin: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numPr>
          <w:ilvl w:val="0"/>
          <w:numId w:val="17"/>
        </w:numPr>
        <w:spacing w:after="0" w:before="0"/>
        <w:tabs>
          <w:tab w:val="left" w:pos="720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Erweiterung der VPN-Zugänge und Ausstattung mit Dienstnotebooks</w:t>
      </w:r>
      <w:r/>
    </w:p>
    <w:p>
      <w:pPr>
        <w:numPr>
          <w:ilvl w:val="0"/>
          <w:numId w:val="18"/>
        </w:numPr>
        <w:spacing w:after="0" w:before="0"/>
        <w:tabs>
          <w:tab w:val="left" w:pos="720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Videokonferenztool: Webex, auch für virtuelle Vorstellungsgespräche</w:t>
      </w:r>
      <w:r/>
    </w:p>
    <w:p>
      <w:pPr>
        <w:numPr>
          <w:ilvl w:val="0"/>
          <w:numId w:val="18"/>
        </w:numPr>
        <w:spacing w:after="0" w:before="0"/>
        <w:tabs>
          <w:tab w:val="left" w:pos="720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Anpassung von Erwerbung und Katalogisierung: verstärkter Kauf von E-Books und Nachweis kostenfreier Online-Ausgaben</w:t>
      </w:r>
      <w:r/>
    </w:p>
    <w:p>
      <w:pPr>
        <w:numPr>
          <w:ilvl w:val="0"/>
          <w:numId w:val="18"/>
        </w:numPr>
        <w:spacing w:after="0" w:before="0"/>
        <w:tabs>
          <w:tab w:val="left" w:pos="720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LBS: Verschiebung der Mahnläufe (Mitarbeiter-Ausleihe) und Änderungen von Ausschriften im OPAC</w:t>
      </w:r>
      <w:r/>
    </w:p>
    <w:p>
      <w:pPr>
        <w:numPr>
          <w:ilvl w:val="0"/>
          <w:numId w:val="18"/>
        </w:numPr>
        <w:spacing w:after="0" w:before="0"/>
        <w:tabs>
          <w:tab w:val="left" w:pos="720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Erweiterung des Kopienlieferservice (Aufsätze aus gedruckten Zeitschriften und Büchern)</w:t>
      </w:r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72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0" w:right="0" w:firstLine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709" w:right="0" w:firstLine="0"/>
        <w:spacing w:after="0" w:before="0"/>
        <w:rPr>
          <w:rFonts w:ascii="Arial" w:hAnsi="Arial" w:cs="Arial" w:eastAsia="Arial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1F497D"/>
          <w:sz w:val="22"/>
        </w:rPr>
      </w:r>
      <w:r>
        <w:rPr>
          <w:rFonts w:ascii="Arial" w:hAnsi="Arial" w:cs="Arial" w:eastAsia="Arial"/>
          <w:color w:val="1F497D"/>
          <w:sz w:val="22"/>
        </w:rPr>
      </w:r>
      <w:r/>
    </w:p>
    <w:sectPr>
      <w:foot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22">
    <w:name w:val="Heading 1"/>
    <w:basedOn w:val="594"/>
    <w:next w:val="594"/>
    <w:link w:val="42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23">
    <w:name w:val="Heading 1 Char"/>
    <w:link w:val="422"/>
    <w:uiPriority w:val="9"/>
    <w:rPr>
      <w:rFonts w:ascii="Arial" w:hAnsi="Arial" w:cs="Arial" w:eastAsia="Arial"/>
      <w:sz w:val="40"/>
      <w:szCs w:val="40"/>
    </w:rPr>
  </w:style>
  <w:style w:type="paragraph" w:styleId="424">
    <w:name w:val="Heading 2"/>
    <w:basedOn w:val="594"/>
    <w:next w:val="594"/>
    <w:link w:val="42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25">
    <w:name w:val="Heading 2 Char"/>
    <w:link w:val="424"/>
    <w:uiPriority w:val="9"/>
    <w:rPr>
      <w:rFonts w:ascii="Arial" w:hAnsi="Arial" w:cs="Arial" w:eastAsia="Arial"/>
      <w:sz w:val="34"/>
    </w:rPr>
  </w:style>
  <w:style w:type="paragraph" w:styleId="426">
    <w:name w:val="Heading 3"/>
    <w:basedOn w:val="594"/>
    <w:next w:val="594"/>
    <w:link w:val="42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27">
    <w:name w:val="Heading 3 Char"/>
    <w:link w:val="426"/>
    <w:uiPriority w:val="9"/>
    <w:rPr>
      <w:rFonts w:ascii="Arial" w:hAnsi="Arial" w:cs="Arial" w:eastAsia="Arial"/>
      <w:sz w:val="30"/>
      <w:szCs w:val="30"/>
    </w:rPr>
  </w:style>
  <w:style w:type="paragraph" w:styleId="428">
    <w:name w:val="Heading 4"/>
    <w:basedOn w:val="594"/>
    <w:next w:val="594"/>
    <w:link w:val="42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9">
    <w:name w:val="Heading 4 Char"/>
    <w:link w:val="428"/>
    <w:uiPriority w:val="9"/>
    <w:rPr>
      <w:rFonts w:ascii="Arial" w:hAnsi="Arial" w:cs="Arial" w:eastAsia="Arial"/>
      <w:b/>
      <w:bCs/>
      <w:sz w:val="26"/>
      <w:szCs w:val="26"/>
    </w:rPr>
  </w:style>
  <w:style w:type="paragraph" w:styleId="430">
    <w:name w:val="Heading 5"/>
    <w:basedOn w:val="594"/>
    <w:next w:val="594"/>
    <w:link w:val="43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31">
    <w:name w:val="Heading 5 Char"/>
    <w:link w:val="430"/>
    <w:uiPriority w:val="9"/>
    <w:rPr>
      <w:rFonts w:ascii="Arial" w:hAnsi="Arial" w:cs="Arial" w:eastAsia="Arial"/>
      <w:b/>
      <w:bCs/>
      <w:sz w:val="24"/>
      <w:szCs w:val="24"/>
    </w:rPr>
  </w:style>
  <w:style w:type="paragraph" w:styleId="432">
    <w:name w:val="Heading 6"/>
    <w:basedOn w:val="594"/>
    <w:next w:val="594"/>
    <w:link w:val="43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33">
    <w:name w:val="Heading 6 Char"/>
    <w:link w:val="432"/>
    <w:uiPriority w:val="9"/>
    <w:rPr>
      <w:rFonts w:ascii="Arial" w:hAnsi="Arial" w:cs="Arial" w:eastAsia="Arial"/>
      <w:b/>
      <w:bCs/>
      <w:sz w:val="22"/>
      <w:szCs w:val="22"/>
    </w:rPr>
  </w:style>
  <w:style w:type="paragraph" w:styleId="434">
    <w:name w:val="Heading 7"/>
    <w:basedOn w:val="594"/>
    <w:next w:val="594"/>
    <w:link w:val="43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35">
    <w:name w:val="Heading 7 Char"/>
    <w:link w:val="43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6">
    <w:name w:val="Heading 8"/>
    <w:basedOn w:val="594"/>
    <w:next w:val="594"/>
    <w:link w:val="43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7">
    <w:name w:val="Heading 8 Char"/>
    <w:link w:val="436"/>
    <w:uiPriority w:val="9"/>
    <w:rPr>
      <w:rFonts w:ascii="Arial" w:hAnsi="Arial" w:cs="Arial" w:eastAsia="Arial"/>
      <w:i/>
      <w:iCs/>
      <w:sz w:val="22"/>
      <w:szCs w:val="22"/>
    </w:rPr>
  </w:style>
  <w:style w:type="paragraph" w:styleId="438">
    <w:name w:val="Heading 9"/>
    <w:basedOn w:val="594"/>
    <w:next w:val="594"/>
    <w:link w:val="43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9">
    <w:name w:val="Heading 9 Char"/>
    <w:link w:val="438"/>
    <w:uiPriority w:val="9"/>
    <w:rPr>
      <w:rFonts w:ascii="Arial" w:hAnsi="Arial" w:cs="Arial" w:eastAsia="Arial"/>
      <w:i/>
      <w:iCs/>
      <w:sz w:val="21"/>
      <w:szCs w:val="21"/>
    </w:rPr>
  </w:style>
  <w:style w:type="paragraph" w:styleId="440">
    <w:name w:val="Title"/>
    <w:basedOn w:val="594"/>
    <w:next w:val="594"/>
    <w:link w:val="4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1">
    <w:name w:val="Title Char"/>
    <w:link w:val="440"/>
    <w:uiPriority w:val="10"/>
    <w:rPr>
      <w:sz w:val="48"/>
      <w:szCs w:val="48"/>
    </w:rPr>
  </w:style>
  <w:style w:type="paragraph" w:styleId="442">
    <w:name w:val="Subtitle"/>
    <w:basedOn w:val="594"/>
    <w:next w:val="594"/>
    <w:link w:val="443"/>
    <w:qFormat/>
    <w:uiPriority w:val="11"/>
    <w:rPr>
      <w:sz w:val="24"/>
      <w:szCs w:val="24"/>
    </w:rPr>
    <w:pPr>
      <w:spacing w:after="200" w:before="200"/>
    </w:pPr>
  </w:style>
  <w:style w:type="character" w:styleId="443">
    <w:name w:val="Subtitle Char"/>
    <w:link w:val="442"/>
    <w:uiPriority w:val="11"/>
    <w:rPr>
      <w:sz w:val="24"/>
      <w:szCs w:val="24"/>
    </w:rPr>
  </w:style>
  <w:style w:type="paragraph" w:styleId="444">
    <w:name w:val="Quote"/>
    <w:basedOn w:val="594"/>
    <w:next w:val="594"/>
    <w:link w:val="445"/>
    <w:qFormat/>
    <w:uiPriority w:val="29"/>
    <w:rPr>
      <w:i/>
    </w:rPr>
    <w:pPr>
      <w:ind w:left="720" w:right="720"/>
    </w:pPr>
  </w:style>
  <w:style w:type="character" w:styleId="445">
    <w:name w:val="Quote Char"/>
    <w:link w:val="444"/>
    <w:uiPriority w:val="29"/>
    <w:rPr>
      <w:i/>
    </w:rPr>
  </w:style>
  <w:style w:type="paragraph" w:styleId="446">
    <w:name w:val="Intense Quote"/>
    <w:basedOn w:val="594"/>
    <w:next w:val="594"/>
    <w:link w:val="44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7">
    <w:name w:val="Intense Quote Char"/>
    <w:link w:val="446"/>
    <w:uiPriority w:val="30"/>
    <w:rPr>
      <w:i/>
    </w:rPr>
  </w:style>
  <w:style w:type="paragraph" w:styleId="448">
    <w:name w:val="Header"/>
    <w:basedOn w:val="594"/>
    <w:link w:val="4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9">
    <w:name w:val="Header Char"/>
    <w:link w:val="448"/>
    <w:uiPriority w:val="99"/>
  </w:style>
  <w:style w:type="paragraph" w:styleId="450">
    <w:name w:val="Footer"/>
    <w:basedOn w:val="594"/>
    <w:link w:val="4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1">
    <w:name w:val="Footer Char"/>
    <w:link w:val="450"/>
    <w:uiPriority w:val="99"/>
  </w:style>
  <w:style w:type="paragraph" w:styleId="452">
    <w:name w:val="Caption"/>
    <w:basedOn w:val="594"/>
    <w:next w:val="59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3">
    <w:name w:val="Caption Char"/>
    <w:basedOn w:val="452"/>
    <w:link w:val="450"/>
    <w:uiPriority w:val="99"/>
  </w:style>
  <w:style w:type="table" w:styleId="454">
    <w:name w:val="Table Grid"/>
    <w:basedOn w:val="59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5">
    <w:name w:val="Table Grid Light"/>
    <w:basedOn w:val="5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basedOn w:val="5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basedOn w:val="59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1 Light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>
    <w:name w:val="Grid Table 1 Light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1 Light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>
    <w:name w:val="Grid Table 1 Light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2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2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2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2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3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3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>
    <w:name w:val="Grid Table 4 - Accent 1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4">
    <w:name w:val="Grid Table 4 - Accent 2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5">
    <w:name w:val="Grid Table 4 - Accent 3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6">
    <w:name w:val="Grid Table 4 - Accent 4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7">
    <w:name w:val="Grid Table 4 - Accent 5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8">
    <w:name w:val="Grid Table 4 - Accent 6"/>
    <w:basedOn w:val="5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9">
    <w:name w:val="Grid Table 5 Dark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90">
    <w:name w:val="Grid Table 5 Dark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91">
    <w:name w:val="Grid Table 5 Dark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92">
    <w:name w:val="Grid Table 5 Dark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93">
    <w:name w:val="Grid Table 5 Dark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94">
    <w:name w:val="Grid Table 5 Dark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5">
    <w:name w:val="Grid Table 5 Dark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6">
    <w:name w:val="Grid Table 6 Colorful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7">
    <w:name w:val="Grid Table 6 Colorful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8">
    <w:name w:val="Grid Table 6 Colorful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9">
    <w:name w:val="Grid Table 6 Colorful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00">
    <w:name w:val="Grid Table 6 Colorful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01">
    <w:name w:val="Grid Table 6 Colorful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2">
    <w:name w:val="Grid Table 6 Colorful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3">
    <w:name w:val="Grid Table 7 Colorful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7 Colorful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7 Colorful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7 Colorful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7 Colorful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1 Light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List Table 1 Light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8">
    <w:name w:val="List Table 2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9">
    <w:name w:val="List Table 2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20">
    <w:name w:val="List Table 2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21">
    <w:name w:val="List Table 2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2">
    <w:name w:val="List Table 2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3">
    <w:name w:val="List Table 2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4">
    <w:name w:val="List Table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3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3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3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3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4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4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5 Dark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1">
    <w:name w:val="List Table 5 Dark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5 Dark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4">
    <w:name w:val="List Table 5 Dark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5">
    <w:name w:val="List Table 6 Colorful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6">
    <w:name w:val="List Table 6 Colorful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7">
    <w:name w:val="List Table 6 Colorful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8">
    <w:name w:val="List Table 6 Colorful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9">
    <w:name w:val="List Table 6 Colorful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50">
    <w:name w:val="List Table 6 Colorful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51">
    <w:name w:val="List Table 6 Colorful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2">
    <w:name w:val="List Table 7 Colorful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3">
    <w:name w:val="List Table 7 Colorful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54">
    <w:name w:val="List Table 7 Colorful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55">
    <w:name w:val="List Table 7 Colorful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56">
    <w:name w:val="List Table 7 Colorful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57">
    <w:name w:val="List Table 7 Colorful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58">
    <w:name w:val="List Table 7 Colorful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59">
    <w:name w:val="Lined - Accent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0">
    <w:name w:val="Lined - Accent 1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1">
    <w:name w:val="Lined - Accent 2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2">
    <w:name w:val="Lined - Accent 3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3">
    <w:name w:val="Lined - Accent 4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4">
    <w:name w:val="Lined - Accent 5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5">
    <w:name w:val="Lined - Accent 6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6">
    <w:name w:val="Bordered &amp; Lined - Accent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7">
    <w:name w:val="Bordered &amp; Lined - Accent 1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8">
    <w:name w:val="Bordered &amp; Lined - Accent 2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9">
    <w:name w:val="Bordered &amp; Lined - Accent 3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0">
    <w:name w:val="Bordered &amp; Lined - Accent 4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1">
    <w:name w:val="Bordered &amp; Lined - Accent 5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2">
    <w:name w:val="Bordered &amp; Lined - Accent 6"/>
    <w:basedOn w:val="5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3">
    <w:name w:val="Bordered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4">
    <w:name w:val="Bordered - Accent 1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5">
    <w:name w:val="Bordered - Accent 2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6">
    <w:name w:val="Bordered - Accent 3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7">
    <w:name w:val="Bordered - Accent 4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8">
    <w:name w:val="Bordered - Accent 5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9">
    <w:name w:val="Bordered - Accent 6"/>
    <w:basedOn w:val="5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80">
    <w:name w:val="Hyperlink"/>
    <w:uiPriority w:val="99"/>
    <w:unhideWhenUsed/>
    <w:rPr>
      <w:color w:val="0000FF" w:themeColor="hyperlink"/>
      <w:u w:val="single"/>
    </w:rPr>
  </w:style>
  <w:style w:type="paragraph" w:styleId="581">
    <w:name w:val="footnote text"/>
    <w:basedOn w:val="594"/>
    <w:link w:val="582"/>
    <w:uiPriority w:val="99"/>
    <w:semiHidden/>
    <w:unhideWhenUsed/>
    <w:rPr>
      <w:sz w:val="18"/>
    </w:rPr>
    <w:pPr>
      <w:spacing w:lineRule="auto" w:line="240" w:after="40"/>
    </w:pPr>
  </w:style>
  <w:style w:type="character" w:styleId="582">
    <w:name w:val="Footnote Text Char"/>
    <w:link w:val="581"/>
    <w:uiPriority w:val="99"/>
    <w:rPr>
      <w:sz w:val="18"/>
    </w:rPr>
  </w:style>
  <w:style w:type="character" w:styleId="583">
    <w:name w:val="footnote reference"/>
    <w:uiPriority w:val="99"/>
    <w:unhideWhenUsed/>
    <w:rPr>
      <w:vertAlign w:val="superscript"/>
    </w:rPr>
  </w:style>
  <w:style w:type="paragraph" w:styleId="584">
    <w:name w:val="toc 1"/>
    <w:basedOn w:val="594"/>
    <w:next w:val="594"/>
    <w:uiPriority w:val="39"/>
    <w:unhideWhenUsed/>
    <w:pPr>
      <w:ind w:left="0" w:right="0" w:firstLine="0"/>
      <w:spacing w:after="57"/>
    </w:pPr>
  </w:style>
  <w:style w:type="paragraph" w:styleId="585">
    <w:name w:val="toc 2"/>
    <w:basedOn w:val="594"/>
    <w:next w:val="594"/>
    <w:uiPriority w:val="39"/>
    <w:unhideWhenUsed/>
    <w:pPr>
      <w:ind w:left="283" w:right="0" w:firstLine="0"/>
      <w:spacing w:after="57"/>
    </w:pPr>
  </w:style>
  <w:style w:type="paragraph" w:styleId="586">
    <w:name w:val="toc 3"/>
    <w:basedOn w:val="594"/>
    <w:next w:val="594"/>
    <w:uiPriority w:val="39"/>
    <w:unhideWhenUsed/>
    <w:pPr>
      <w:ind w:left="567" w:right="0" w:firstLine="0"/>
      <w:spacing w:after="57"/>
    </w:pPr>
  </w:style>
  <w:style w:type="paragraph" w:styleId="587">
    <w:name w:val="toc 4"/>
    <w:basedOn w:val="594"/>
    <w:next w:val="594"/>
    <w:uiPriority w:val="39"/>
    <w:unhideWhenUsed/>
    <w:pPr>
      <w:ind w:left="850" w:right="0" w:firstLine="0"/>
      <w:spacing w:after="57"/>
    </w:pPr>
  </w:style>
  <w:style w:type="paragraph" w:styleId="588">
    <w:name w:val="toc 5"/>
    <w:basedOn w:val="594"/>
    <w:next w:val="594"/>
    <w:uiPriority w:val="39"/>
    <w:unhideWhenUsed/>
    <w:pPr>
      <w:ind w:left="1134" w:right="0" w:firstLine="0"/>
      <w:spacing w:after="57"/>
    </w:pPr>
  </w:style>
  <w:style w:type="paragraph" w:styleId="589">
    <w:name w:val="toc 6"/>
    <w:basedOn w:val="594"/>
    <w:next w:val="594"/>
    <w:uiPriority w:val="39"/>
    <w:unhideWhenUsed/>
    <w:pPr>
      <w:ind w:left="1417" w:right="0" w:firstLine="0"/>
      <w:spacing w:after="57"/>
    </w:pPr>
  </w:style>
  <w:style w:type="paragraph" w:styleId="590">
    <w:name w:val="toc 7"/>
    <w:basedOn w:val="594"/>
    <w:next w:val="594"/>
    <w:uiPriority w:val="39"/>
    <w:unhideWhenUsed/>
    <w:pPr>
      <w:ind w:left="1701" w:right="0" w:firstLine="0"/>
      <w:spacing w:after="57"/>
    </w:pPr>
  </w:style>
  <w:style w:type="paragraph" w:styleId="591">
    <w:name w:val="toc 8"/>
    <w:basedOn w:val="594"/>
    <w:next w:val="594"/>
    <w:uiPriority w:val="39"/>
    <w:unhideWhenUsed/>
    <w:pPr>
      <w:ind w:left="1984" w:right="0" w:firstLine="0"/>
      <w:spacing w:after="57"/>
    </w:pPr>
  </w:style>
  <w:style w:type="paragraph" w:styleId="592">
    <w:name w:val="toc 9"/>
    <w:basedOn w:val="594"/>
    <w:next w:val="594"/>
    <w:uiPriority w:val="39"/>
    <w:unhideWhenUsed/>
    <w:pPr>
      <w:ind w:left="2268" w:right="0" w:firstLine="0"/>
      <w:spacing w:after="57"/>
    </w:pPr>
  </w:style>
  <w:style w:type="paragraph" w:styleId="593">
    <w:name w:val="TOC Heading"/>
    <w:uiPriority w:val="39"/>
    <w:unhideWhenUsed/>
  </w:style>
  <w:style w:type="paragraph" w:styleId="594" w:default="1">
    <w:name w:val="Normal"/>
    <w:qFormat/>
  </w:style>
  <w:style w:type="table" w:styleId="5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96" w:default="1">
    <w:name w:val="No List"/>
    <w:uiPriority w:val="99"/>
    <w:semiHidden/>
    <w:unhideWhenUsed/>
  </w:style>
  <w:style w:type="paragraph" w:styleId="597">
    <w:name w:val="No Spacing"/>
    <w:basedOn w:val="594"/>
    <w:qFormat/>
    <w:uiPriority w:val="1"/>
    <w:pPr>
      <w:spacing w:lineRule="auto" w:line="240" w:after="0"/>
    </w:pPr>
  </w:style>
  <w:style w:type="paragraph" w:styleId="598">
    <w:name w:val="List Paragraph"/>
    <w:basedOn w:val="594"/>
    <w:qFormat/>
    <w:uiPriority w:val="34"/>
    <w:pPr>
      <w:contextualSpacing w:val="true"/>
      <w:ind w:left="720"/>
    </w:pPr>
  </w:style>
  <w:style w:type="character" w:styleId="59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s://doi.org/10.1515/bd-2021-0079" TargetMode="External"/><Relationship Id="rId9" Type="http://schemas.openxmlformats.org/officeDocument/2006/relationships/hyperlink" Target="https://staatsbibliothek-berlin.de/service/wissenswerkstatt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15</cp:revision>
  <dcterms:modified xsi:type="dcterms:W3CDTF">2021-08-09T11:10:58Z</dcterms:modified>
</cp:coreProperties>
</file>