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1.2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Entwurf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1.2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1.2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Protokoll</w:t>
      </w:r>
      <w:r w:rsidDel="00000000" w:rsidR="00000000" w:rsidRPr="00000000">
        <w:rPr>
          <w:sz w:val="28"/>
          <w:szCs w:val="28"/>
          <w:rtl w:val="0"/>
        </w:rPr>
        <w:t xml:space="preserve"> der 80. Sitzung des Fachbeirats des GBV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Termin: 25.02.202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Ort: Göttinger Verbundzentrale Tagungsraum Weender Landstraße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Zeit: 10.30 - 15.00 Uhr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Teilnehmer: 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Vorschlag zur vorläufigen Tagesordnung: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left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left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TOP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Formalia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Protokoll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Management Summary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left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left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TOP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Kurzberichte: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FAG's, VZG, VL, Koordinierungsausschuss (BSZ-GBV)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FAG-LG:</w:t>
      </w: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FAG-TI:</w:t>
      </w: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FAG EI:</w:t>
      </w: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br w:type="textWrapping"/>
        <w:br w:type="textWrapping"/>
      </w: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FAG-Fernleihe: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VZG: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VL: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Koordinierungsausschuss (BSZ-GBV):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TOP 3 Verbundkonferenz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Top 4 Künftige FAG-Struktur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Top 5 Unterstützung von „externen“ Discoverysystemen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    </w:t>
        <w:tab/>
        <w:t xml:space="preserve"> (beluga, finc, TUHH etc.)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TOP 6 Folio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TOP 7 Verschiedenes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