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Protokoll der 62. Sitzung der FAG Lokale Geschäftsgänge des GBV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Wann:</w:t>
      </w:r>
      <w:r w:rsidDel="00000000" w:rsidR="00000000" w:rsidRPr="00000000">
        <w:rPr>
          <w:rtl w:val="0"/>
        </w:rPr>
        <w:t xml:space="preserve"> 26.11.2019, 10:30 - 12.00 Uhr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Wo: </w:t>
      </w:r>
      <w:r w:rsidDel="00000000" w:rsidR="00000000" w:rsidRPr="00000000">
        <w:rPr>
          <w:rtl w:val="0"/>
        </w:rPr>
        <w:t xml:space="preserve">Schul</w:t>
      </w:r>
      <w:r w:rsidDel="00000000" w:rsidR="00000000" w:rsidRPr="00000000">
        <w:rPr>
          <w:rtl w:val="0"/>
        </w:rPr>
        <w:t xml:space="preserve">ungsraum VZG Göttingen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Teilnehmer_innen:</w:t>
      </w:r>
      <w:r w:rsidDel="00000000" w:rsidR="00000000" w:rsidRPr="00000000">
        <w:rPr>
          <w:rtl w:val="0"/>
        </w:rPr>
        <w:t xml:space="preserve">, Kerstin Bauer, Claudius Herkt-Januschek, Helga Kreter, Peter Sbrzesny, Rüdiger Stratmann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Noemi Betancort-Cabrera, Petra Ruppert, Petra Helmchen, Silke Janßen, Dörthe Schulz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Entschuldigt: Uschi Klute, Kirstin Kemner-Heek, Renate Müller, Ines Schmidt, Jarmo Schrader</w:t>
        <w:br w:type="textWrapping"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Protokoll: Peter Sbrzesny</w:t>
        <w:br w:type="textWrapping"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Management Summary: Rüdiger Stratmann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000000"/>
        </w:rPr>
      </w:pPr>
      <w:r w:rsidDel="00000000" w:rsidR="00000000" w:rsidRPr="00000000">
        <w:rPr>
          <w:sz w:val="28"/>
          <w:szCs w:val="28"/>
          <w:rtl w:val="0"/>
        </w:rPr>
        <w:t xml:space="preserve">TOP 1: Formalia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rPr>
          <w:color w:val="000000"/>
        </w:rPr>
      </w:pPr>
      <w:bookmarkStart w:colFirst="0" w:colLast="0" w:name="_a9q02ukiieii" w:id="0"/>
      <w:bookmarkEnd w:id="0"/>
      <w:r w:rsidDel="00000000" w:rsidR="00000000" w:rsidRPr="00000000">
        <w:rPr>
          <w:color w:val="000000"/>
          <w:rtl w:val="0"/>
        </w:rPr>
        <w:t xml:space="preserve">TOP 2: FOLIO-Tests (Bremen, Kiel)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Bremen: </w:t>
      </w:r>
    </w:p>
    <w:p w:rsidR="00000000" w:rsidDel="00000000" w:rsidP="00000000" w:rsidRDefault="00000000" w:rsidRPr="00000000" w14:paraId="00000010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Kickoff am 16.12.19 geplant</w:t>
      </w:r>
    </w:p>
    <w:p w:rsidR="00000000" w:rsidDel="00000000" w:rsidP="00000000" w:rsidRDefault="00000000" w:rsidRPr="00000000" w14:paraId="00000011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Testinstanz wurde aufgesetzt. Es wird auf die neue Version gewartet.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Mehr Infos s. Vortrag auf dem Workshop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Kiel: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Kickoff hat Anfang November stattgefunden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 wurde eine Arbeitsgruppe gebildet, der auch Praktiker aus der Erwerbung, Admins sowie Kollegen aus Rechnungs-/Finanzsystem angehören (insgesamt 8 - 10 Personen beteiligt)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 wird auf die nächste Version gewartet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Testsystem und Produktionssystem werden parallel aufgesetzt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auch LASER wird derzeit implementiert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daher besteht großes Interesse an der Entwicklung der LASER-FOLIO-Schnittstelle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Angebot der ZBW zur Finanzierung dieser Schnittstelle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Konsortialpakete werden in die GOKb geladen</w:t>
      </w:r>
    </w:p>
    <w:p w:rsidR="00000000" w:rsidDel="00000000" w:rsidP="00000000" w:rsidRDefault="00000000" w:rsidRPr="00000000" w14:paraId="0000001C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lokale Pakete: auch in die GOKb einzuspielen oder Pflege in lokaler FOLIO-Knowledgebase?</w:t>
      </w:r>
    </w:p>
    <w:p w:rsidR="00000000" w:rsidDel="00000000" w:rsidP="00000000" w:rsidRDefault="00000000" w:rsidRPr="00000000" w14:paraId="0000001D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Arbeit in kleinen Schritten</w:t>
      </w:r>
    </w:p>
    <w:p w:rsidR="00000000" w:rsidDel="00000000" w:rsidP="00000000" w:rsidRDefault="00000000" w:rsidRPr="00000000" w14:paraId="0000001E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derzeit viel Doppelarbeit nötig</w:t>
      </w:r>
    </w:p>
    <w:p w:rsidR="00000000" w:rsidDel="00000000" w:rsidP="00000000" w:rsidRDefault="00000000" w:rsidRPr="00000000" w14:paraId="0000001F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Aufräumarbeiten im ACQ (Budgets, Lieferanten …)</w:t>
      </w:r>
    </w:p>
    <w:p w:rsidR="00000000" w:rsidDel="00000000" w:rsidP="00000000" w:rsidRDefault="00000000" w:rsidRPr="00000000" w14:paraId="00000020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Mehr Infos s. Vortrag auf dem Workshop</w:t>
      </w:r>
    </w:p>
    <w:p w:rsidR="00000000" w:rsidDel="00000000" w:rsidP="00000000" w:rsidRDefault="00000000" w:rsidRPr="00000000" w14:paraId="00000021">
      <w:pPr>
        <w:pStyle w:val="Heading3"/>
        <w:rPr>
          <w:color w:val="000000"/>
        </w:rPr>
      </w:pPr>
      <w:bookmarkStart w:colFirst="0" w:colLast="0" w:name="_cgiwzx4srxfo" w:id="1"/>
      <w:bookmarkEnd w:id="1"/>
      <w:r w:rsidDel="00000000" w:rsidR="00000000" w:rsidRPr="00000000">
        <w:rPr>
          <w:color w:val="000000"/>
          <w:rtl w:val="0"/>
        </w:rPr>
        <w:t xml:space="preserve">TOP 3: Rechnungsdatenimport/ -export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s. Präsentation auf dem Workshop</w:t>
      </w:r>
    </w:p>
    <w:p w:rsidR="00000000" w:rsidDel="00000000" w:rsidP="00000000" w:rsidRDefault="00000000" w:rsidRPr="00000000" w14:paraId="00000024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20" w:line="276" w:lineRule="auto"/>
        <w:ind w:left="0" w:right="0" w:firstLine="0"/>
        <w:jc w:val="left"/>
        <w:rPr>
          <w:color w:val="000000"/>
        </w:rPr>
      </w:pPr>
      <w:bookmarkStart w:colFirst="0" w:colLast="0" w:name="_tvlej9xso18n" w:id="2"/>
      <w:bookmarkEnd w:id="2"/>
      <w:r w:rsidDel="00000000" w:rsidR="00000000" w:rsidRPr="00000000">
        <w:rPr>
          <w:color w:val="000000"/>
          <w:rtl w:val="0"/>
        </w:rPr>
        <w:t xml:space="preserve">TOP 4: Bericht aus der VZG, Beirat (jeweils schriftlich?) </w:t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Bericht VZG zu LBS / FOLIO -&gt; siehe Vorträge auf LBS-Workshop im Anschluss</w:t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Bericht Fachbeirat (Sitzung vom 13.09.2019, Hannover)</w:t>
        <w:br w:type="textWrapping"/>
      </w:r>
    </w:p>
    <w:p w:rsidR="00000000" w:rsidDel="00000000" w:rsidP="00000000" w:rsidRDefault="00000000" w:rsidRPr="00000000" w14:paraId="00000029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Herr Wulle übernimmt die Vertretung von Herrn Ahlers für den Vorsitz des Fachbeirats</w:t>
      </w:r>
    </w:p>
    <w:p w:rsidR="00000000" w:rsidDel="00000000" w:rsidP="00000000" w:rsidRDefault="00000000" w:rsidRPr="00000000" w14:paraId="0000002A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Herr Ahlers will nach Ablauf seiner Amtszeit 2020 nicht erneut kandidieren</w:t>
      </w:r>
    </w:p>
    <w:p w:rsidR="00000000" w:rsidDel="00000000" w:rsidP="00000000" w:rsidRDefault="00000000" w:rsidRPr="00000000" w14:paraId="0000002B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 soll Protokoll-Zusammenfassungen für die Direktoren geben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AG-TI: Themen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Übersicht zur IT-Infrastruktur der VZG-Bibliotheken im Aufbau (Bestandserhaltung, Bibbliotheksmanagement, Leihverkehr …)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Monitoring der IT-Systeme im Verbund soll aufgebaut werden</w:t>
        <w:br w:type="textWrapping"/>
        <w:br w:type="textWrapping"/>
        <w:br w:type="textWrapping"/>
      </w:r>
    </w:p>
    <w:p w:rsidR="00000000" w:rsidDel="00000000" w:rsidP="00000000" w:rsidRDefault="00000000" w:rsidRPr="00000000" w14:paraId="00000032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2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FAG EI. Themen</w:t>
      </w:r>
    </w:p>
    <w:p w:rsidR="00000000" w:rsidDel="00000000" w:rsidP="00000000" w:rsidRDefault="00000000" w:rsidRPr="00000000" w14:paraId="00000034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3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Kritik an der praktischen Anwendbarkeit des weiterentwickelten RDA-Tools (/Beta Version) </w:t>
      </w:r>
    </w:p>
    <w:p w:rsidR="00000000" w:rsidDel="00000000" w:rsidP="00000000" w:rsidRDefault="00000000" w:rsidRPr="00000000" w14:paraId="00000036">
      <w:pPr>
        <w:numPr>
          <w:ilvl w:val="0"/>
          <w:numId w:val="13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Kritik an der Gewichtung der Verbünde/Bundesländer</w:t>
      </w:r>
    </w:p>
    <w:p w:rsidR="00000000" w:rsidDel="00000000" w:rsidP="00000000" w:rsidRDefault="00000000" w:rsidRPr="00000000" w14:paraId="00000037">
      <w:pPr>
        <w:numPr>
          <w:ilvl w:val="0"/>
          <w:numId w:val="13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FAG EI empfiehlt der Verbundleitung, zeitnah zur nächsten VL-Sitzung einen Offenen Brief an den Standardisierungsausschuss zu formulieren. </w:t>
      </w:r>
    </w:p>
    <w:p w:rsidR="00000000" w:rsidDel="00000000" w:rsidP="00000000" w:rsidRDefault="00000000" w:rsidRPr="00000000" w14:paraId="00000038">
      <w:pPr>
        <w:numPr>
          <w:ilvl w:val="0"/>
          <w:numId w:val="13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FAG-EI thematisiert ebenso Inhaltserschließungskonzept der DNB, welches kritisch betrachtet wird</w:t>
      </w:r>
    </w:p>
    <w:p w:rsidR="00000000" w:rsidDel="00000000" w:rsidP="00000000" w:rsidRDefault="00000000" w:rsidRPr="00000000" w14:paraId="00000039">
      <w:pPr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FAG-Fernleihe: Themen </w:t>
      </w:r>
    </w:p>
    <w:p w:rsidR="00000000" w:rsidDel="00000000" w:rsidP="00000000" w:rsidRDefault="00000000" w:rsidRPr="00000000" w14:paraId="0000003B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Fernleihfunktionalitäten nach der Migration nach K10Plus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Strategiepapier zur Umsetzung der elektronischen Lieferung im Leihverkehr gem. § 60e (5) UrhG: elektronische Dokumente können nach wie vor nicht elektronisch an Endbenutzer verschickt werden. Es sind weiterhin Ausdrucke für Benutzer erforderlich. </w:t>
      </w:r>
    </w:p>
    <w:p w:rsidR="00000000" w:rsidDel="00000000" w:rsidP="00000000" w:rsidRDefault="00000000" w:rsidRPr="00000000" w14:paraId="0000003E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VZG:</w:t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ind w:left="144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Kritik an der Informationspolitik und am aktuellen Stand der Dateneinspielung in K10plus</w:t>
      </w:r>
    </w:p>
    <w:p w:rsidR="00000000" w:rsidDel="00000000" w:rsidP="00000000" w:rsidRDefault="00000000" w:rsidRPr="00000000" w14:paraId="00000041">
      <w:pPr>
        <w:numPr>
          <w:ilvl w:val="1"/>
          <w:numId w:val="2"/>
        </w:numPr>
        <w:ind w:left="144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Ablösung der Sybase-Datenbank des CBS durch Postgress (???) geplant</w:t>
      </w:r>
    </w:p>
    <w:p w:rsidR="00000000" w:rsidDel="00000000" w:rsidP="00000000" w:rsidRDefault="00000000" w:rsidRPr="00000000" w14:paraId="00000042">
      <w:pPr>
        <w:numPr>
          <w:ilvl w:val="1"/>
          <w:numId w:val="2"/>
        </w:numPr>
        <w:ind w:left="144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WinIBW4 wird entwickelt</w:t>
      </w:r>
    </w:p>
    <w:p w:rsidR="00000000" w:rsidDel="00000000" w:rsidP="00000000" w:rsidRDefault="00000000" w:rsidRPr="00000000" w14:paraId="00000043">
      <w:pPr>
        <w:numPr>
          <w:ilvl w:val="1"/>
          <w:numId w:val="2"/>
        </w:numPr>
        <w:ind w:left="144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Webversion für Katalogisierung (CC-Web) am Horizont. Geplant als Ersatz für die Terminal-Server-Lösung der WinIBW (eher für kleinere Einrichtungen relevant)</w:t>
      </w:r>
    </w:p>
    <w:p w:rsidR="00000000" w:rsidDel="00000000" w:rsidP="00000000" w:rsidRDefault="00000000" w:rsidRPr="00000000" w14:paraId="00000044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Strategieworkshop 2019: Redaktionsgruppe wurde eingerichtet. Neues Strategiepapier (für die Zeit bis 2025) soll Ende 2020 fertig sein.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Vertrag für SFX-Hosting ist ausgelaufen.Einige Bibliotheken sind auf REDI (gehostet bei UB Freiburg) umgestiegen. Dort ist eine Daten-Abfrage von OPAC, EZB, Crossref und Unpaywall integriert.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>
          <w:color w:val="00000a"/>
          <w:sz w:val="24"/>
          <w:szCs w:val="24"/>
          <w:u w:val="none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Nächste Sitzungen am 11.12.19 und 11.2.20, jeweils in Göttingen</w:t>
      </w:r>
    </w:p>
    <w:p w:rsidR="00000000" w:rsidDel="00000000" w:rsidP="00000000" w:rsidRDefault="00000000" w:rsidRPr="00000000" w14:paraId="00000049">
      <w:pPr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3"/>
        <w:rPr>
          <w:color w:val="000000"/>
        </w:rPr>
      </w:pPr>
      <w:bookmarkStart w:colFirst="0" w:colLast="0" w:name="_ukr0v3995dyq" w:id="3"/>
      <w:bookmarkEnd w:id="3"/>
      <w:r w:rsidDel="00000000" w:rsidR="00000000" w:rsidRPr="00000000">
        <w:rPr>
          <w:color w:val="000000"/>
          <w:rtl w:val="0"/>
        </w:rPr>
        <w:t xml:space="preserve">T</w:t>
      </w:r>
      <w:r w:rsidDel="00000000" w:rsidR="00000000" w:rsidRPr="00000000">
        <w:rPr>
          <w:color w:val="000000"/>
          <w:rtl w:val="0"/>
        </w:rPr>
        <w:t xml:space="preserve">OP 5:  Planung 2020 und Termine 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nächste Sitzung Anfang März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dort: Planung des LBS-Workshop 2020 (in Verantwortung der FAG), vermutlich in Hamburg (Termin?)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Checkliste der VZG beschaffen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rPr>
          <w:color w:val="000000"/>
        </w:rPr>
      </w:pPr>
      <w:bookmarkStart w:colFirst="0" w:colLast="0" w:name="_6huuo9phm3vj" w:id="4"/>
      <w:bookmarkEnd w:id="4"/>
      <w:r w:rsidDel="00000000" w:rsidR="00000000" w:rsidRPr="00000000">
        <w:rPr>
          <w:color w:val="000000"/>
          <w:rtl w:val="0"/>
        </w:rPr>
        <w:t xml:space="preserve">TOP 6:  Verschiedenes</w:t>
        <w:br w:type="textWrapping"/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erste Erfahrungen mit Version 2.12.1 auf den Testsystemen:</w:t>
      </w:r>
    </w:p>
    <w:p w:rsidR="00000000" w:rsidDel="00000000" w:rsidP="00000000" w:rsidRDefault="00000000" w:rsidRPr="00000000" w14:paraId="00000051">
      <w:pPr>
        <w:numPr>
          <w:ilvl w:val="1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IAI: </w:t>
      </w:r>
    </w:p>
    <w:p w:rsidR="00000000" w:rsidDel="00000000" w:rsidP="00000000" w:rsidRDefault="00000000" w:rsidRPr="00000000" w14:paraId="00000052">
      <w:pPr>
        <w:numPr>
          <w:ilvl w:val="2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Bestellunge</w:t>
      </w:r>
      <w:r w:rsidDel="00000000" w:rsidR="00000000" w:rsidRPr="00000000">
        <w:rPr>
          <w:rtl w:val="0"/>
        </w:rPr>
        <w:t xml:space="preserve">n anzeigen/ändern: Problem beim Aufrufen einer Bestellung aus der Kurzanzeige (?). </w:t>
      </w:r>
    </w:p>
    <w:p w:rsidR="00000000" w:rsidDel="00000000" w:rsidP="00000000" w:rsidRDefault="00000000" w:rsidRPr="00000000" w14:paraId="00000053">
      <w:pPr>
        <w:numPr>
          <w:ilvl w:val="2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positiv: Integration des SMM in die Client-Oberfläche</w:t>
      </w:r>
    </w:p>
    <w:p w:rsidR="00000000" w:rsidDel="00000000" w:rsidP="00000000" w:rsidRDefault="00000000" w:rsidRPr="00000000" w14:paraId="00000054">
      <w:pPr>
        <w:numPr>
          <w:ilvl w:val="1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Göttingen</w:t>
      </w:r>
    </w:p>
    <w:p w:rsidR="00000000" w:rsidDel="00000000" w:rsidP="00000000" w:rsidRDefault="00000000" w:rsidRPr="00000000" w14:paraId="00000055">
      <w:pPr>
        <w:numPr>
          <w:ilvl w:val="2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neue Oberfläche wurde positiv aufgenommen</w:t>
      </w:r>
    </w:p>
    <w:p w:rsidR="00000000" w:rsidDel="00000000" w:rsidP="00000000" w:rsidRDefault="00000000" w:rsidRPr="00000000" w14:paraId="00000056">
      <w:pPr>
        <w:numPr>
          <w:ilvl w:val="2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kein großer Schulungsaufwand, allgemeine Informationen in kompakter Form genügen</w:t>
      </w:r>
    </w:p>
    <w:p w:rsidR="00000000" w:rsidDel="00000000" w:rsidP="00000000" w:rsidRDefault="00000000" w:rsidRPr="00000000" w14:paraId="00000057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